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kern w:val="44"/>
          <w:sz w:val="32"/>
          <w:szCs w:val="32"/>
        </w:rPr>
      </w:pPr>
      <w:r>
        <w:rPr>
          <w:rFonts w:hint="eastAsia" w:ascii="仿宋" w:hAnsi="仿宋" w:eastAsia="仿宋" w:cs="仿宋"/>
          <w:b/>
          <w:bCs/>
          <w:kern w:val="44"/>
          <w:sz w:val="32"/>
          <w:szCs w:val="32"/>
          <w:lang w:eastAsia="zh-CN"/>
        </w:rPr>
        <w:t>深圳亿库资本管理有限公司</w:t>
      </w:r>
    </w:p>
    <w:p>
      <w:pPr>
        <w:jc w:val="center"/>
        <w:rPr>
          <w:rFonts w:ascii="仿宋" w:hAnsi="仿宋" w:eastAsia="仿宋" w:cs="仿宋"/>
          <w:b/>
          <w:bCs/>
          <w:kern w:val="44"/>
          <w:sz w:val="32"/>
          <w:szCs w:val="32"/>
        </w:rPr>
      </w:pPr>
      <w:r>
        <w:rPr>
          <w:rFonts w:hint="eastAsia" w:ascii="仿宋" w:hAnsi="仿宋" w:eastAsia="仿宋" w:cs="仿宋"/>
          <w:b/>
          <w:bCs/>
          <w:kern w:val="44"/>
          <w:sz w:val="32"/>
          <w:szCs w:val="32"/>
        </w:rPr>
        <w:t>募集制度</w:t>
      </w:r>
    </w:p>
    <w:p>
      <w:pPr>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第一章</w:t>
      </w:r>
      <w:r>
        <w:rPr>
          <w:rFonts w:ascii="仿宋" w:hAnsi="仿宋" w:eastAsia="仿宋" w:cs="仿宋"/>
          <w:b/>
          <w:bCs/>
          <w:sz w:val="28"/>
          <w:szCs w:val="28"/>
        </w:rPr>
        <w:t xml:space="preserve">  </w:t>
      </w:r>
      <w:r>
        <w:rPr>
          <w:rFonts w:hint="eastAsia" w:ascii="仿宋" w:hAnsi="仿宋" w:eastAsia="仿宋" w:cs="仿宋"/>
          <w:b/>
          <w:bCs/>
          <w:sz w:val="28"/>
          <w:szCs w:val="28"/>
        </w:rPr>
        <w:t>总则</w:t>
      </w:r>
    </w:p>
    <w:p>
      <w:pPr>
        <w:rPr>
          <w:rFonts w:ascii="仿宋" w:hAnsi="仿宋" w:eastAsia="仿宋" w:cs="仿宋"/>
          <w:sz w:val="28"/>
          <w:szCs w:val="28"/>
        </w:rPr>
      </w:pPr>
      <w:r>
        <w:rPr>
          <w:rFonts w:hint="eastAsia" w:ascii="仿宋" w:hAnsi="仿宋" w:eastAsia="仿宋" w:cs="仿宋"/>
          <w:sz w:val="28"/>
          <w:szCs w:val="28"/>
        </w:rPr>
        <w:t>第一条</w:t>
      </w:r>
      <w:r>
        <w:rPr>
          <w:rFonts w:ascii="仿宋" w:hAnsi="仿宋" w:eastAsia="仿宋" w:cs="仿宋"/>
          <w:sz w:val="28"/>
          <w:szCs w:val="28"/>
        </w:rPr>
        <w:t xml:space="preserve">  </w:t>
      </w:r>
      <w:r>
        <w:rPr>
          <w:rFonts w:hint="eastAsia" w:ascii="仿宋" w:hAnsi="仿宋" w:eastAsia="仿宋" w:cs="仿宋"/>
          <w:sz w:val="28"/>
          <w:szCs w:val="28"/>
        </w:rPr>
        <w:t>为规范对公司募集行为的管理，符合相关法律法规的规定，特制定本制度。</w:t>
      </w:r>
    </w:p>
    <w:p>
      <w:pPr>
        <w:rPr>
          <w:rFonts w:ascii="仿宋" w:hAnsi="仿宋" w:eastAsia="仿宋" w:cs="仿宋"/>
          <w:sz w:val="28"/>
          <w:szCs w:val="28"/>
        </w:rPr>
      </w:pPr>
      <w:r>
        <w:rPr>
          <w:rFonts w:hint="eastAsia" w:ascii="仿宋" w:hAnsi="仿宋" w:eastAsia="仿宋" w:cs="仿宋"/>
          <w:sz w:val="28"/>
          <w:szCs w:val="28"/>
        </w:rPr>
        <w:t>第二条</w:t>
      </w:r>
      <w:r>
        <w:rPr>
          <w:rFonts w:ascii="仿宋" w:hAnsi="仿宋" w:eastAsia="仿宋" w:cs="仿宋"/>
          <w:sz w:val="28"/>
          <w:szCs w:val="28"/>
        </w:rPr>
        <w:t xml:space="preserve">  </w:t>
      </w:r>
      <w:r>
        <w:rPr>
          <w:rFonts w:hint="eastAsia" w:ascii="仿宋" w:hAnsi="仿宋" w:eastAsia="仿宋" w:cs="仿宋"/>
          <w:sz w:val="28"/>
          <w:szCs w:val="28"/>
          <w:lang w:eastAsia="zh-CN"/>
        </w:rPr>
        <w:t>公司</w:t>
      </w:r>
      <w:r>
        <w:rPr>
          <w:rFonts w:hint="eastAsia" w:ascii="仿宋" w:hAnsi="仿宋" w:eastAsia="仿宋" w:cs="仿宋"/>
          <w:sz w:val="28"/>
          <w:szCs w:val="28"/>
        </w:rPr>
        <w:t>聘请的基金业务外包服务机构就其参与私募基金募集业务的环节适用本制度。基金业务外包服务机构包括提供募集服务的基金销售机构，提供支付结算服务、募集结算资金监督、份额登记等与募集业务相关服务的机构。</w:t>
      </w:r>
    </w:p>
    <w:p>
      <w:pPr>
        <w:rPr>
          <w:rFonts w:ascii="仿宋" w:hAnsi="仿宋" w:eastAsia="仿宋" w:cs="仿宋"/>
          <w:sz w:val="28"/>
          <w:szCs w:val="28"/>
        </w:rPr>
      </w:pPr>
      <w:r>
        <w:rPr>
          <w:rFonts w:hint="eastAsia" w:ascii="仿宋" w:hAnsi="仿宋" w:eastAsia="仿宋" w:cs="仿宋"/>
          <w:sz w:val="28"/>
          <w:szCs w:val="28"/>
        </w:rPr>
        <w:t>第三条</w:t>
      </w:r>
      <w:r>
        <w:rPr>
          <w:rFonts w:ascii="仿宋" w:hAnsi="仿宋" w:eastAsia="仿宋" w:cs="仿宋"/>
          <w:sz w:val="28"/>
          <w:szCs w:val="28"/>
        </w:rPr>
        <w:t xml:space="preserve">  </w:t>
      </w:r>
      <w:r>
        <w:rPr>
          <w:rFonts w:hint="eastAsia" w:ascii="仿宋" w:hAnsi="仿宋" w:eastAsia="仿宋" w:cs="仿宋"/>
          <w:sz w:val="28"/>
          <w:szCs w:val="28"/>
        </w:rPr>
        <w:t>公司产品募集所涉及的各个部门及人员，均应遵守本制度。</w:t>
      </w:r>
    </w:p>
    <w:p>
      <w:pPr>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第二章</w:t>
      </w:r>
      <w:r>
        <w:rPr>
          <w:rFonts w:ascii="仿宋" w:hAnsi="仿宋" w:eastAsia="仿宋" w:cs="仿宋"/>
          <w:b/>
          <w:bCs/>
          <w:sz w:val="28"/>
          <w:szCs w:val="28"/>
        </w:rPr>
        <w:t xml:space="preserve">  </w:t>
      </w:r>
      <w:r>
        <w:rPr>
          <w:rFonts w:hint="eastAsia" w:ascii="仿宋" w:hAnsi="仿宋" w:eastAsia="仿宋" w:cs="仿宋"/>
          <w:b/>
          <w:bCs/>
          <w:sz w:val="28"/>
          <w:szCs w:val="28"/>
        </w:rPr>
        <w:t>实施细则</w:t>
      </w:r>
    </w:p>
    <w:p>
      <w:pPr>
        <w:autoSpaceDE w:val="0"/>
        <w:autoSpaceDN w:val="0"/>
        <w:adjustRightInd w:val="0"/>
        <w:jc w:val="left"/>
        <w:rPr>
          <w:rFonts w:ascii="仿宋" w:hAnsi="仿宋" w:eastAsia="仿宋" w:cs="仿宋"/>
          <w:sz w:val="28"/>
          <w:szCs w:val="28"/>
        </w:rPr>
      </w:pPr>
      <w:r>
        <w:rPr>
          <w:rFonts w:hint="eastAsia" w:ascii="仿宋" w:hAnsi="仿宋" w:eastAsia="仿宋" w:cs="仿宋"/>
          <w:sz w:val="28"/>
          <w:szCs w:val="28"/>
        </w:rPr>
        <w:t>第四条</w:t>
      </w:r>
      <w:r>
        <w:rPr>
          <w:rFonts w:ascii="仿宋" w:hAnsi="仿宋" w:eastAsia="仿宋" w:cs="仿宋"/>
          <w:sz w:val="28"/>
          <w:szCs w:val="28"/>
        </w:rPr>
        <w:t xml:space="preserve">  </w:t>
      </w:r>
      <w:r>
        <w:rPr>
          <w:rFonts w:hint="eastAsia" w:ascii="仿宋" w:hAnsi="仿宋" w:eastAsia="仿宋" w:cs="仿宋"/>
          <w:sz w:val="28"/>
          <w:szCs w:val="28"/>
        </w:rPr>
        <w:t>基金业务外包服务机构就其参与私募基金募集业务的环节适用本制度。</w:t>
      </w:r>
    </w:p>
    <w:p>
      <w:pPr>
        <w:autoSpaceDE w:val="0"/>
        <w:autoSpaceDN w:val="0"/>
        <w:adjustRightInd w:val="0"/>
        <w:jc w:val="left"/>
        <w:rPr>
          <w:rFonts w:ascii="仿宋" w:hAnsi="仿宋" w:eastAsia="仿宋" w:cs="仿宋"/>
          <w:sz w:val="28"/>
          <w:szCs w:val="28"/>
        </w:rPr>
      </w:pPr>
      <w:r>
        <w:rPr>
          <w:rFonts w:hint="eastAsia" w:ascii="仿宋" w:hAnsi="仿宋" w:eastAsia="仿宋" w:cs="仿宋"/>
          <w:sz w:val="28"/>
          <w:szCs w:val="28"/>
        </w:rPr>
        <w:t>第五条</w:t>
      </w:r>
      <w:r>
        <w:rPr>
          <w:rFonts w:ascii="仿宋" w:hAnsi="仿宋" w:eastAsia="仿宋" w:cs="仿宋"/>
          <w:sz w:val="28"/>
          <w:szCs w:val="28"/>
        </w:rPr>
        <w:t xml:space="preserve">  </w:t>
      </w:r>
      <w:r>
        <w:rPr>
          <w:rFonts w:hint="eastAsia" w:ascii="仿宋" w:hAnsi="仿宋" w:eastAsia="仿宋" w:cs="仿宋"/>
          <w:sz w:val="28"/>
          <w:szCs w:val="28"/>
        </w:rPr>
        <w:t>公司委托基金销售机构募集私募基金的，应当签订基金销售协议作为基金合同的附件，基金销售协议中应当明确管理人、基金销售机构的权利义务与责任划分，并由基金销售机构负责向投资者说明相关内容。</w:t>
      </w:r>
    </w:p>
    <w:p>
      <w:pPr>
        <w:autoSpaceDE w:val="0"/>
        <w:autoSpaceDN w:val="0"/>
        <w:adjustRightInd w:val="0"/>
        <w:jc w:val="left"/>
        <w:rPr>
          <w:rFonts w:ascii="仿宋" w:hAnsi="仿宋" w:eastAsia="仿宋" w:cs="仿宋"/>
          <w:sz w:val="28"/>
          <w:szCs w:val="28"/>
        </w:rPr>
      </w:pPr>
      <w:r>
        <w:rPr>
          <w:rFonts w:hint="eastAsia" w:ascii="仿宋" w:hAnsi="仿宋" w:eastAsia="仿宋" w:cs="仿宋"/>
          <w:sz w:val="28"/>
          <w:szCs w:val="28"/>
        </w:rPr>
        <w:t>第六条</w:t>
      </w:r>
      <w:r>
        <w:rPr>
          <w:rFonts w:ascii="仿宋" w:hAnsi="仿宋" w:eastAsia="仿宋" w:cs="仿宋"/>
          <w:sz w:val="28"/>
          <w:szCs w:val="28"/>
        </w:rPr>
        <w:t xml:space="preserve">  </w:t>
      </w:r>
      <w:r>
        <w:rPr>
          <w:rFonts w:hint="eastAsia" w:ascii="仿宋" w:hAnsi="仿宋" w:eastAsia="仿宋" w:cs="仿宋"/>
          <w:sz w:val="28"/>
          <w:szCs w:val="28"/>
        </w:rPr>
        <w:t>不得为规避合格投资者标准募集以私募基金份额或其收益权为投资标的的产品，或者将私募基金份额或其收益权进行拆分转让，变相突破合格投资者标准。</w:t>
      </w:r>
    </w:p>
    <w:p>
      <w:pPr>
        <w:autoSpaceDE w:val="0"/>
        <w:autoSpaceDN w:val="0"/>
        <w:adjustRightInd w:val="0"/>
        <w:jc w:val="left"/>
        <w:rPr>
          <w:rFonts w:ascii="仿宋" w:hAnsi="仿宋" w:eastAsia="仿宋" w:cs="仿宋"/>
          <w:sz w:val="28"/>
          <w:szCs w:val="28"/>
        </w:rPr>
      </w:pPr>
      <w:r>
        <w:rPr>
          <w:rFonts w:hint="eastAsia" w:ascii="仿宋" w:hAnsi="仿宋" w:eastAsia="仿宋" w:cs="仿宋"/>
          <w:sz w:val="28"/>
          <w:szCs w:val="28"/>
        </w:rPr>
        <w:t>第七条</w:t>
      </w:r>
      <w:r>
        <w:rPr>
          <w:rFonts w:ascii="仿宋" w:hAnsi="仿宋" w:eastAsia="仿宋" w:cs="仿宋"/>
          <w:sz w:val="28"/>
          <w:szCs w:val="28"/>
        </w:rPr>
        <w:t xml:space="preserve">  </w:t>
      </w:r>
      <w:r>
        <w:rPr>
          <w:rFonts w:hint="eastAsia" w:ascii="仿宋" w:hAnsi="仿宋" w:eastAsia="仿宋" w:cs="仿宋"/>
          <w:sz w:val="28"/>
          <w:szCs w:val="28"/>
        </w:rPr>
        <w:t>募集机构应对投资者尽到合理的注意义务，包括但不限于：</w:t>
      </w:r>
    </w:p>
    <w:p>
      <w:pPr>
        <w:autoSpaceDE w:val="0"/>
        <w:autoSpaceDN w:val="0"/>
        <w:adjustRightInd w:val="0"/>
        <w:jc w:val="left"/>
        <w:rPr>
          <w:rFonts w:ascii="仿宋" w:hAnsi="仿宋" w:eastAsia="仿宋" w:cs="仿宋"/>
          <w:sz w:val="28"/>
          <w:szCs w:val="28"/>
        </w:rPr>
      </w:pPr>
      <w:r>
        <w:rPr>
          <w:rFonts w:hint="eastAsia" w:ascii="仿宋" w:hAnsi="仿宋" w:eastAsia="仿宋" w:cs="仿宋"/>
          <w:sz w:val="28"/>
          <w:szCs w:val="28"/>
        </w:rPr>
        <w:t>（一）确保投资者以书面方式承诺其为自己购买私募基金；</w:t>
      </w:r>
    </w:p>
    <w:p>
      <w:pPr>
        <w:autoSpaceDE w:val="0"/>
        <w:autoSpaceDN w:val="0"/>
        <w:adjustRightInd w:val="0"/>
        <w:jc w:val="left"/>
        <w:rPr>
          <w:rFonts w:ascii="仿宋" w:hAnsi="仿宋" w:eastAsia="仿宋" w:cs="仿宋"/>
          <w:sz w:val="28"/>
          <w:szCs w:val="28"/>
        </w:rPr>
      </w:pPr>
      <w:r>
        <w:rPr>
          <w:rFonts w:hint="eastAsia" w:ascii="仿宋" w:hAnsi="仿宋" w:eastAsia="仿宋" w:cs="仿宋"/>
          <w:sz w:val="28"/>
          <w:szCs w:val="28"/>
        </w:rPr>
        <w:t>（二）在基金合同中约定转让的条件。</w:t>
      </w:r>
    </w:p>
    <w:p>
      <w:pPr>
        <w:autoSpaceDE w:val="0"/>
        <w:autoSpaceDN w:val="0"/>
        <w:adjustRightInd w:val="0"/>
        <w:jc w:val="left"/>
        <w:rPr>
          <w:rFonts w:ascii="仿宋" w:hAnsi="仿宋" w:eastAsia="仿宋" w:cs="仿宋"/>
          <w:sz w:val="28"/>
          <w:szCs w:val="28"/>
        </w:rPr>
      </w:pPr>
      <w:r>
        <w:rPr>
          <w:rFonts w:hint="eastAsia" w:ascii="仿宋" w:hAnsi="仿宋" w:eastAsia="仿宋" w:cs="仿宋"/>
          <w:sz w:val="28"/>
          <w:szCs w:val="28"/>
        </w:rPr>
        <w:t>不得以非法拆分转让为目的购买私募基金。</w:t>
      </w:r>
    </w:p>
    <w:p>
      <w:pPr>
        <w:autoSpaceDE w:val="0"/>
        <w:autoSpaceDN w:val="0"/>
        <w:adjustRightInd w:val="0"/>
        <w:jc w:val="left"/>
        <w:rPr>
          <w:rFonts w:ascii="仿宋" w:hAnsi="仿宋" w:eastAsia="仿宋" w:cs="仿宋"/>
          <w:sz w:val="28"/>
          <w:szCs w:val="28"/>
        </w:rPr>
      </w:pPr>
      <w:r>
        <w:rPr>
          <w:rFonts w:hint="eastAsia" w:ascii="仿宋" w:hAnsi="仿宋" w:eastAsia="仿宋" w:cs="仿宋"/>
          <w:sz w:val="28"/>
          <w:szCs w:val="28"/>
        </w:rPr>
        <w:t>第八条</w:t>
      </w:r>
      <w:r>
        <w:rPr>
          <w:rFonts w:ascii="仿宋" w:hAnsi="仿宋" w:eastAsia="仿宋" w:cs="仿宋"/>
          <w:sz w:val="28"/>
          <w:szCs w:val="28"/>
        </w:rPr>
        <w:t xml:space="preserve">  </w:t>
      </w:r>
      <w:r>
        <w:rPr>
          <w:rFonts w:hint="eastAsia" w:ascii="仿宋" w:hAnsi="仿宋" w:eastAsia="仿宋" w:cs="仿宋"/>
          <w:sz w:val="28"/>
          <w:szCs w:val="28"/>
        </w:rPr>
        <w:t>对投资者的商业秘密及个人信息严格保密。除法律法规和自律规则另有规定的，不得对外披露。</w:t>
      </w:r>
    </w:p>
    <w:p>
      <w:pPr>
        <w:autoSpaceDE w:val="0"/>
        <w:autoSpaceDN w:val="0"/>
        <w:adjustRightInd w:val="0"/>
        <w:jc w:val="left"/>
        <w:rPr>
          <w:rFonts w:ascii="仿宋" w:hAnsi="仿宋" w:eastAsia="仿宋" w:cs="仿宋"/>
          <w:sz w:val="28"/>
          <w:szCs w:val="28"/>
        </w:rPr>
      </w:pPr>
      <w:r>
        <w:rPr>
          <w:rFonts w:hint="eastAsia" w:ascii="仿宋" w:hAnsi="仿宋" w:eastAsia="仿宋" w:cs="仿宋"/>
          <w:sz w:val="28"/>
          <w:szCs w:val="28"/>
        </w:rPr>
        <w:t>第九条</w:t>
      </w:r>
      <w:r>
        <w:rPr>
          <w:rFonts w:ascii="仿宋" w:hAnsi="仿宋" w:eastAsia="仿宋" w:cs="仿宋"/>
          <w:sz w:val="28"/>
          <w:szCs w:val="28"/>
        </w:rPr>
        <w:t xml:space="preserve">  </w:t>
      </w:r>
      <w:r>
        <w:rPr>
          <w:rFonts w:hint="eastAsia" w:ascii="仿宋" w:hAnsi="仿宋" w:eastAsia="仿宋" w:cs="仿宋"/>
          <w:sz w:val="28"/>
          <w:szCs w:val="28"/>
        </w:rPr>
        <w:t>妥善保存投资者适当性管理以及其他与私募基金募集业务相关的资料，保存期限自基金清算终止之日起</w:t>
      </w:r>
      <w:r>
        <w:rPr>
          <w:rFonts w:ascii="仿宋" w:hAnsi="仿宋" w:eastAsia="仿宋" w:cs="仿宋"/>
          <w:sz w:val="28"/>
          <w:szCs w:val="28"/>
        </w:rPr>
        <w:t xml:space="preserve">10 </w:t>
      </w:r>
      <w:r>
        <w:rPr>
          <w:rFonts w:hint="eastAsia" w:ascii="仿宋" w:hAnsi="仿宋" w:eastAsia="仿宋" w:cs="仿宋"/>
          <w:sz w:val="28"/>
          <w:szCs w:val="28"/>
        </w:rPr>
        <w:t>年。</w:t>
      </w:r>
    </w:p>
    <w:p>
      <w:pPr>
        <w:autoSpaceDE w:val="0"/>
        <w:autoSpaceDN w:val="0"/>
        <w:adjustRightInd w:val="0"/>
        <w:jc w:val="left"/>
        <w:rPr>
          <w:rFonts w:ascii="仿宋" w:hAnsi="仿宋" w:eastAsia="仿宋" w:cs="仿宋"/>
          <w:sz w:val="28"/>
          <w:szCs w:val="28"/>
        </w:rPr>
      </w:pPr>
      <w:r>
        <w:rPr>
          <w:rFonts w:hint="eastAsia" w:ascii="仿宋" w:hAnsi="仿宋" w:eastAsia="仿宋" w:cs="仿宋"/>
          <w:sz w:val="28"/>
          <w:szCs w:val="28"/>
        </w:rPr>
        <w:t>第十条</w:t>
      </w:r>
      <w:r>
        <w:rPr>
          <w:rFonts w:ascii="仿宋" w:hAnsi="仿宋" w:eastAsia="仿宋" w:cs="仿宋"/>
          <w:sz w:val="28"/>
          <w:szCs w:val="28"/>
        </w:rPr>
        <w:t xml:space="preserve">  </w:t>
      </w:r>
      <w:r>
        <w:rPr>
          <w:rFonts w:hint="eastAsia" w:ascii="仿宋" w:hAnsi="仿宋" w:eastAsia="仿宋" w:cs="仿宋"/>
          <w:sz w:val="28"/>
          <w:szCs w:val="28"/>
        </w:rPr>
        <w:t>公司与监督机构联名开立私募基金募集结算资金专用账户，统一归集私募基金募集结算资金。募集结算资金从合格投资者资金账户划出，到达私募基金财产账户或托管账户之前，属于合格投资者合法财产。</w:t>
      </w:r>
    </w:p>
    <w:p>
      <w:pPr>
        <w:autoSpaceDE w:val="0"/>
        <w:autoSpaceDN w:val="0"/>
        <w:adjustRightInd w:val="0"/>
        <w:jc w:val="left"/>
        <w:rPr>
          <w:rFonts w:ascii="仿宋" w:hAnsi="仿宋" w:eastAsia="仿宋" w:cs="仿宋"/>
          <w:sz w:val="28"/>
          <w:szCs w:val="28"/>
        </w:rPr>
      </w:pPr>
      <w:r>
        <w:rPr>
          <w:rFonts w:hint="eastAsia" w:ascii="仿宋" w:hAnsi="仿宋" w:eastAsia="仿宋" w:cs="仿宋"/>
          <w:sz w:val="28"/>
          <w:szCs w:val="28"/>
        </w:rPr>
        <w:t>第十一条</w:t>
      </w:r>
      <w:r>
        <w:rPr>
          <w:rFonts w:ascii="仿宋" w:hAnsi="仿宋" w:eastAsia="仿宋" w:cs="仿宋"/>
          <w:sz w:val="28"/>
          <w:szCs w:val="28"/>
        </w:rPr>
        <w:t xml:space="preserve">  </w:t>
      </w:r>
      <w:r>
        <w:rPr>
          <w:rFonts w:hint="eastAsia" w:ascii="仿宋" w:hAnsi="仿宋" w:eastAsia="仿宋" w:cs="仿宋"/>
          <w:sz w:val="28"/>
          <w:szCs w:val="28"/>
        </w:rPr>
        <w:t>公司应当与监督机构签署监督协议，监督机构负责对募集结算资金专用账户实施有效监督。监督协议中须明确反洗钱义务履职、责任划分及保障投资者资金安全的连带责任条款。</w:t>
      </w:r>
    </w:p>
    <w:p>
      <w:pPr>
        <w:autoSpaceDE w:val="0"/>
        <w:autoSpaceDN w:val="0"/>
        <w:adjustRightInd w:val="0"/>
        <w:jc w:val="left"/>
        <w:rPr>
          <w:rFonts w:ascii="仿宋" w:hAnsi="仿宋" w:eastAsia="仿宋" w:cs="仿宋"/>
          <w:sz w:val="28"/>
          <w:szCs w:val="28"/>
        </w:rPr>
      </w:pPr>
      <w:r>
        <w:rPr>
          <w:rFonts w:hint="eastAsia" w:ascii="仿宋" w:hAnsi="仿宋" w:eastAsia="仿宋" w:cs="仿宋"/>
          <w:sz w:val="28"/>
          <w:szCs w:val="28"/>
        </w:rPr>
        <w:t>第十二条</w:t>
      </w:r>
      <w:r>
        <w:rPr>
          <w:rFonts w:ascii="仿宋" w:hAnsi="仿宋" w:eastAsia="仿宋" w:cs="仿宋"/>
          <w:sz w:val="28"/>
          <w:szCs w:val="28"/>
        </w:rPr>
        <w:t xml:space="preserve">  </w:t>
      </w:r>
      <w:r>
        <w:rPr>
          <w:rFonts w:hint="eastAsia" w:ascii="仿宋" w:hAnsi="仿宋" w:eastAsia="仿宋" w:cs="仿宋"/>
          <w:sz w:val="28"/>
          <w:szCs w:val="28"/>
        </w:rPr>
        <w:t>涉及私募基金募集结算资金专用账户开立、使用的机构不得将私募基金募集结算资金归入其自有财产。不得以任何形式挪用私募基金募集结算资金。</w:t>
      </w:r>
    </w:p>
    <w:p>
      <w:pPr>
        <w:autoSpaceDE w:val="0"/>
        <w:autoSpaceDN w:val="0"/>
        <w:adjustRightInd w:val="0"/>
        <w:jc w:val="left"/>
        <w:rPr>
          <w:rFonts w:ascii="仿宋" w:hAnsi="仿宋" w:eastAsia="仿宋" w:cs="仿宋"/>
          <w:sz w:val="28"/>
          <w:szCs w:val="28"/>
        </w:rPr>
      </w:pPr>
      <w:r>
        <w:rPr>
          <w:rFonts w:hint="eastAsia" w:ascii="仿宋" w:hAnsi="仿宋" w:eastAsia="仿宋" w:cs="仿宋"/>
          <w:sz w:val="28"/>
          <w:szCs w:val="28"/>
        </w:rPr>
        <w:t>第十三条</w:t>
      </w:r>
      <w:r>
        <w:rPr>
          <w:rFonts w:ascii="仿宋" w:hAnsi="仿宋" w:eastAsia="仿宋" w:cs="仿宋"/>
          <w:sz w:val="28"/>
          <w:szCs w:val="28"/>
        </w:rPr>
        <w:t xml:space="preserve">  </w:t>
      </w:r>
      <w:r>
        <w:rPr>
          <w:rFonts w:hint="eastAsia" w:ascii="仿宋" w:hAnsi="仿宋" w:eastAsia="仿宋" w:cs="仿宋"/>
          <w:sz w:val="28"/>
          <w:szCs w:val="28"/>
        </w:rPr>
        <w:t>产品资金募集工作由</w:t>
      </w:r>
      <w:r>
        <w:rPr>
          <w:rFonts w:hint="eastAsia" w:ascii="仿宋" w:hAnsi="仿宋" w:eastAsia="仿宋" w:cs="仿宋"/>
          <w:sz w:val="28"/>
          <w:szCs w:val="28"/>
          <w:lang w:val="en-US" w:eastAsia="zh-CN"/>
        </w:rPr>
        <w:t>市场</w:t>
      </w:r>
      <w:r>
        <w:rPr>
          <w:rFonts w:hint="eastAsia" w:ascii="仿宋" w:hAnsi="仿宋" w:eastAsia="仿宋" w:cs="仿宋"/>
          <w:sz w:val="28"/>
          <w:szCs w:val="28"/>
        </w:rPr>
        <w:t>部门牵头并负责，风险合规部门就合法合规性进行监督。</w:t>
      </w:r>
    </w:p>
    <w:p>
      <w:pPr>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第三章</w:t>
      </w:r>
      <w:r>
        <w:rPr>
          <w:rFonts w:ascii="仿宋" w:hAnsi="仿宋" w:eastAsia="仿宋" w:cs="仿宋"/>
          <w:b/>
          <w:bCs/>
          <w:sz w:val="28"/>
          <w:szCs w:val="28"/>
        </w:rPr>
        <w:t xml:space="preserve">  </w:t>
      </w:r>
      <w:r>
        <w:rPr>
          <w:rFonts w:hint="eastAsia" w:ascii="仿宋" w:hAnsi="仿宋" w:eastAsia="仿宋" w:cs="仿宋"/>
          <w:b/>
          <w:bCs/>
          <w:sz w:val="28"/>
          <w:szCs w:val="28"/>
        </w:rPr>
        <w:t>附则</w:t>
      </w:r>
    </w:p>
    <w:p>
      <w:pPr>
        <w:rPr>
          <w:rFonts w:ascii="仿宋" w:hAnsi="仿宋" w:eastAsia="仿宋" w:cs="仿宋"/>
          <w:sz w:val="28"/>
          <w:szCs w:val="28"/>
        </w:rPr>
      </w:pPr>
      <w:r>
        <w:rPr>
          <w:rFonts w:hint="eastAsia" w:ascii="仿宋" w:hAnsi="仿宋" w:eastAsia="仿宋" w:cs="仿宋"/>
          <w:sz w:val="28"/>
          <w:szCs w:val="28"/>
        </w:rPr>
        <w:t>第十四条</w:t>
      </w:r>
      <w:r>
        <w:rPr>
          <w:rFonts w:ascii="仿宋" w:hAnsi="仿宋" w:eastAsia="仿宋" w:cs="仿宋"/>
          <w:sz w:val="28"/>
          <w:szCs w:val="28"/>
        </w:rPr>
        <w:t xml:space="preserve">  </w:t>
      </w:r>
      <w:r>
        <w:rPr>
          <w:rFonts w:hint="eastAsia" w:ascii="仿宋" w:hAnsi="仿宋" w:eastAsia="仿宋" w:cs="仿宋"/>
          <w:sz w:val="28"/>
          <w:szCs w:val="28"/>
        </w:rPr>
        <w:t>公司将根据法律法规的变化、上级主管机关的要求或公司经营管理的需要，及时对该</w:t>
      </w:r>
      <w:bookmarkStart w:id="0" w:name="_GoBack"/>
      <w:bookmarkEnd w:id="0"/>
      <w:r>
        <w:rPr>
          <w:rFonts w:hint="eastAsia" w:ascii="仿宋" w:hAnsi="仿宋" w:eastAsia="仿宋" w:cs="仿宋"/>
          <w:sz w:val="28"/>
          <w:szCs w:val="28"/>
        </w:rPr>
        <w:t>制度做出相应的调整，调整内容另行公布。</w:t>
      </w:r>
    </w:p>
    <w:p>
      <w:pPr>
        <w:rPr>
          <w:rFonts w:ascii="仿宋" w:hAnsi="仿宋" w:eastAsia="仿宋" w:cs="仿宋"/>
          <w:sz w:val="28"/>
          <w:szCs w:val="28"/>
        </w:rPr>
      </w:pPr>
      <w:r>
        <w:rPr>
          <w:rFonts w:hint="eastAsia" w:ascii="仿宋" w:hAnsi="仿宋" w:eastAsia="仿宋" w:cs="仿宋"/>
          <w:sz w:val="28"/>
          <w:szCs w:val="28"/>
        </w:rPr>
        <w:t>第十五条</w:t>
      </w:r>
      <w:r>
        <w:rPr>
          <w:rFonts w:ascii="仿宋" w:hAnsi="仿宋" w:eastAsia="仿宋" w:cs="仿宋"/>
          <w:sz w:val="28"/>
          <w:szCs w:val="28"/>
        </w:rPr>
        <w:t xml:space="preserve">  </w:t>
      </w:r>
      <w:r>
        <w:rPr>
          <w:rFonts w:hint="eastAsia" w:ascii="仿宋" w:hAnsi="仿宋" w:eastAsia="仿宋" w:cs="仿宋"/>
          <w:sz w:val="28"/>
          <w:szCs w:val="28"/>
        </w:rPr>
        <w:t>本制度由本公司负责解释和修订，并自公布之日起实施。</w:t>
      </w:r>
    </w:p>
    <w:p>
      <w:pPr>
        <w:rPr>
          <w:rFonts w:ascii="仿宋" w:hAnsi="仿宋" w:eastAsia="仿宋" w:cs="仿宋"/>
          <w:sz w:val="28"/>
          <w:szCs w:val="28"/>
        </w:rPr>
      </w:pPr>
    </w:p>
    <w:p>
      <w:pPr>
        <w:rPr>
          <w:rFonts w:ascii="仿宋" w:hAnsi="仿宋" w:eastAsia="仿宋" w:cs="仿宋"/>
          <w:sz w:val="28"/>
          <w:szCs w:val="28"/>
        </w:rPr>
      </w:pPr>
    </w:p>
    <w:p>
      <w:pPr>
        <w:tabs>
          <w:tab w:val="left" w:pos="624"/>
          <w:tab w:val="left" w:pos="1980"/>
          <w:tab w:val="left" w:pos="2520"/>
        </w:tabs>
        <w:spacing w:beforeLines="50" w:line="520" w:lineRule="exact"/>
        <w:jc w:val="left"/>
        <w:rPr>
          <w:rFonts w:ascii="仿宋" w:hAnsi="仿宋" w:eastAsia="仿宋" w:cs="仿宋"/>
          <w:sz w:val="28"/>
          <w:szCs w:val="28"/>
        </w:rPr>
      </w:pPr>
      <w:r>
        <w:rPr>
          <w:rFonts w:eastAsia="仿宋_GB2312"/>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lang w:eastAsia="zh-CN"/>
        </w:rPr>
        <w:t>深圳亿库资本管理有限公司</w:t>
      </w:r>
    </w:p>
    <w:p>
      <w:pPr>
        <w:tabs>
          <w:tab w:val="left" w:pos="624"/>
          <w:tab w:val="left" w:pos="1980"/>
          <w:tab w:val="left" w:pos="2520"/>
        </w:tabs>
        <w:spacing w:beforeLines="50" w:line="520" w:lineRule="exact"/>
        <w:ind w:firstLine="5320" w:firstLineChars="1900"/>
        <w:jc w:val="left"/>
        <w:rPr>
          <w:rFonts w:ascii="仿宋" w:hAnsi="仿宋" w:eastAsia="仿宋" w:cs="仿宋"/>
          <w:sz w:val="28"/>
          <w:szCs w:val="28"/>
        </w:rPr>
      </w:pPr>
      <w:r>
        <w:rPr>
          <w:rFonts w:hint="eastAsia" w:ascii="仿宋" w:hAnsi="仿宋" w:eastAsia="仿宋" w:cs="仿宋"/>
          <w:sz w:val="28"/>
          <w:szCs w:val="28"/>
        </w:rPr>
        <w:t>2016年</w:t>
      </w:r>
      <w:r>
        <w:rPr>
          <w:rFonts w:hint="eastAsia" w:ascii="仿宋" w:hAnsi="仿宋" w:eastAsia="仿宋" w:cs="仿宋"/>
          <w:sz w:val="28"/>
          <w:szCs w:val="28"/>
          <w:lang w:val="en-US" w:eastAsia="zh-CN"/>
        </w:rPr>
        <w:t>6</w:t>
      </w:r>
      <w:r>
        <w:rPr>
          <w:rFonts w:hint="eastAsia" w:ascii="仿宋" w:hAnsi="仿宋" w:eastAsia="仿宋" w:cs="仿宋"/>
          <w:sz w:val="28"/>
          <w:szCs w:val="28"/>
        </w:rPr>
        <w:t>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A32384"/>
    <w:rsid w:val="0005365D"/>
    <w:rsid w:val="00121BA4"/>
    <w:rsid w:val="00175DD8"/>
    <w:rsid w:val="00196F37"/>
    <w:rsid w:val="001B26F3"/>
    <w:rsid w:val="002869DE"/>
    <w:rsid w:val="002A6C11"/>
    <w:rsid w:val="00395CBE"/>
    <w:rsid w:val="004762BE"/>
    <w:rsid w:val="005C7454"/>
    <w:rsid w:val="005F02F2"/>
    <w:rsid w:val="0073460F"/>
    <w:rsid w:val="00761393"/>
    <w:rsid w:val="00866617"/>
    <w:rsid w:val="0094501D"/>
    <w:rsid w:val="00A32384"/>
    <w:rsid w:val="00B01FF1"/>
    <w:rsid w:val="00B92AD5"/>
    <w:rsid w:val="00D05F1E"/>
    <w:rsid w:val="00DD3498"/>
    <w:rsid w:val="00DF1BB7"/>
    <w:rsid w:val="00FA13A7"/>
    <w:rsid w:val="00FD6966"/>
    <w:rsid w:val="06EE5C9A"/>
    <w:rsid w:val="0C590E61"/>
    <w:rsid w:val="12325957"/>
    <w:rsid w:val="145A3168"/>
    <w:rsid w:val="3BFA09E3"/>
    <w:rsid w:val="43E9284F"/>
    <w:rsid w:val="4B4C25CB"/>
    <w:rsid w:val="67234B47"/>
    <w:rsid w:val="7E5B40BE"/>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locked/>
    <w:uiPriority w:val="99"/>
    <w:rPr>
      <w:rFonts w:cs="Times New Roman"/>
      <w:sz w:val="18"/>
      <w:szCs w:val="18"/>
    </w:rPr>
  </w:style>
  <w:style w:type="character" w:customStyle="1" w:styleId="7">
    <w:name w:val="页脚 Char"/>
    <w:basedOn w:val="4"/>
    <w:link w:val="2"/>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161</Words>
  <Characters>922</Characters>
  <Lines>7</Lines>
  <Paragraphs>2</Paragraphs>
  <ScaleCrop>false</ScaleCrop>
  <LinksUpToDate>false</LinksUpToDate>
  <CharactersWithSpaces>1081</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2016-06-07T01:57:00Z</dcterms:created>
  <dc:creator>AutoBVT</dc:creator>
  <cp:lastModifiedBy>曹文杰</cp:lastModifiedBy>
  <dcterms:modified xsi:type="dcterms:W3CDTF">2016-08-06T06:47:57Z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