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r>
        <w:rPr>
          <w:rFonts w:hint="eastAsia" w:ascii="仿宋" w:hAnsi="仿宋" w:eastAsia="仿宋" w:cs="仿宋"/>
          <w:b/>
          <w:bCs/>
          <w:kern w:val="44"/>
          <w:sz w:val="32"/>
          <w:szCs w:val="32"/>
        </w:rPr>
        <w:t>宣传推介制度</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总则</w:t>
      </w:r>
    </w:p>
    <w:p>
      <w:pPr>
        <w:rPr>
          <w:rFonts w:ascii="仿宋" w:hAnsi="仿宋" w:eastAsia="仿宋" w:cs="仿宋"/>
          <w:sz w:val="28"/>
          <w:szCs w:val="28"/>
        </w:rPr>
      </w:pPr>
      <w:r>
        <w:rPr>
          <w:rFonts w:hint="eastAsia" w:ascii="仿宋" w:hAnsi="仿宋" w:eastAsia="仿宋" w:cs="仿宋"/>
          <w:sz w:val="28"/>
          <w:szCs w:val="28"/>
        </w:rPr>
        <w:t>第一条</w:t>
      </w:r>
      <w:r>
        <w:rPr>
          <w:rFonts w:ascii="仿宋" w:hAnsi="仿宋" w:eastAsia="仿宋" w:cs="仿宋"/>
          <w:sz w:val="28"/>
          <w:szCs w:val="28"/>
        </w:rPr>
        <w:t xml:space="preserve">  </w:t>
      </w:r>
      <w:r>
        <w:rPr>
          <w:rFonts w:hint="eastAsia" w:ascii="仿宋" w:hAnsi="仿宋" w:eastAsia="仿宋" w:cs="仿宋"/>
          <w:sz w:val="28"/>
          <w:szCs w:val="28"/>
        </w:rPr>
        <w:t>为规范对公司宣传推介行为的管理，符合相关法律法规的规定，特制定本制度。</w:t>
      </w:r>
    </w:p>
    <w:p>
      <w:pPr>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lang w:val="en-US" w:eastAsia="zh-CN"/>
        </w:rPr>
        <w:t>公司</w:t>
      </w:r>
      <w:r>
        <w:rPr>
          <w:rFonts w:hint="eastAsia" w:ascii="仿宋" w:hAnsi="仿宋" w:eastAsia="仿宋" w:cs="仿宋"/>
          <w:sz w:val="28"/>
          <w:szCs w:val="28"/>
        </w:rPr>
        <w:t>聘请的基金业务外包服务机构就其参与私募基金募集业务的环节适用本制度。基金业务外包服务机构包括提供募集服务的基金销售机构，提供支付结算服务、募集结算资金监督、份额登记等与募集业务相关服务的机构。</w:t>
      </w:r>
    </w:p>
    <w:p>
      <w:pPr>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公司对外宣传推介所涉及的各个部门及人员，均应遵守本制度。</w:t>
      </w:r>
    </w:p>
    <w:p>
      <w:pPr>
        <w:jc w:val="center"/>
        <w:rPr>
          <w:rFonts w:ascii="仿宋" w:hAnsi="仿宋" w:eastAsia="仿宋" w:cs="仿宋"/>
          <w:b/>
          <w:bCs/>
          <w:sz w:val="28"/>
          <w:szCs w:val="28"/>
        </w:rP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具体细则</w:t>
      </w:r>
    </w:p>
    <w:p>
      <w:pPr>
        <w:rPr>
          <w:rFonts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推介材料应由募集机构制作使用，募集机构对推介材料内容的真实性、完整性、准确性负责。其他任何机构或个人不得使用、更改、变相使用私募基金推介材料。</w:t>
      </w:r>
    </w:p>
    <w:p>
      <w:pPr>
        <w:rPr>
          <w:rFonts w:ascii="仿宋" w:hAnsi="仿宋" w:eastAsia="仿宋" w:cs="仿宋"/>
          <w:sz w:val="28"/>
          <w:szCs w:val="28"/>
        </w:rPr>
      </w:pPr>
      <w:r>
        <w:rPr>
          <w:rFonts w:hint="eastAsia" w:ascii="仿宋" w:hAnsi="仿宋" w:eastAsia="仿宋" w:cs="仿宋"/>
          <w:sz w:val="28"/>
          <w:szCs w:val="28"/>
        </w:rPr>
        <w:t>第五条</w:t>
      </w:r>
      <w:r>
        <w:rPr>
          <w:rFonts w:ascii="仿宋" w:hAnsi="仿宋" w:eastAsia="仿宋" w:cs="仿宋"/>
          <w:sz w:val="28"/>
          <w:szCs w:val="28"/>
        </w:rPr>
        <w:t xml:space="preserve">  </w:t>
      </w:r>
      <w:r>
        <w:rPr>
          <w:rFonts w:hint="eastAsia" w:ascii="仿宋" w:hAnsi="仿宋" w:eastAsia="仿宋" w:cs="仿宋"/>
          <w:sz w:val="28"/>
          <w:szCs w:val="28"/>
        </w:rPr>
        <w:t>推介材料内容应与基金合同主要内容一致，不得有任何虚假记载、误导性陈述或者重大遗漏。推介材料内容包括但不限于：</w:t>
      </w:r>
    </w:p>
    <w:p>
      <w:pPr>
        <w:rPr>
          <w:rFonts w:ascii="仿宋" w:hAnsi="仿宋" w:eastAsia="仿宋" w:cs="仿宋"/>
          <w:sz w:val="28"/>
          <w:szCs w:val="28"/>
        </w:rPr>
      </w:pPr>
      <w:r>
        <w:rPr>
          <w:rFonts w:hint="eastAsia" w:ascii="仿宋" w:hAnsi="仿宋" w:eastAsia="仿宋" w:cs="仿宋"/>
          <w:sz w:val="28"/>
          <w:szCs w:val="28"/>
        </w:rPr>
        <w:t>（一）私募基金的名称和基金类型；</w:t>
      </w:r>
    </w:p>
    <w:p>
      <w:pPr>
        <w:rPr>
          <w:rFonts w:ascii="仿宋" w:hAnsi="仿宋" w:eastAsia="仿宋" w:cs="仿宋"/>
          <w:sz w:val="28"/>
          <w:szCs w:val="28"/>
        </w:rPr>
      </w:pPr>
      <w:r>
        <w:rPr>
          <w:rFonts w:hint="eastAsia" w:ascii="仿宋" w:hAnsi="仿宋" w:eastAsia="仿宋" w:cs="仿宋"/>
          <w:sz w:val="28"/>
          <w:szCs w:val="28"/>
        </w:rPr>
        <w:t>（二）私募基金管理人名称、私募基金管理人登记编码等基本信息及</w:t>
      </w:r>
    </w:p>
    <w:p>
      <w:pPr>
        <w:rPr>
          <w:rFonts w:ascii="仿宋" w:hAnsi="仿宋" w:eastAsia="仿宋" w:cs="仿宋"/>
          <w:sz w:val="28"/>
          <w:szCs w:val="28"/>
        </w:rPr>
      </w:pPr>
      <w:r>
        <w:rPr>
          <w:rFonts w:hint="eastAsia" w:ascii="仿宋" w:hAnsi="仿宋" w:eastAsia="仿宋" w:cs="仿宋"/>
          <w:sz w:val="28"/>
          <w:szCs w:val="28"/>
        </w:rPr>
        <w:t>概况描述；</w:t>
      </w:r>
    </w:p>
    <w:p>
      <w:pPr>
        <w:rPr>
          <w:rFonts w:ascii="仿宋" w:hAnsi="仿宋" w:eastAsia="仿宋" w:cs="仿宋"/>
          <w:sz w:val="28"/>
          <w:szCs w:val="28"/>
        </w:rPr>
      </w:pPr>
      <w:r>
        <w:rPr>
          <w:rFonts w:hint="eastAsia" w:ascii="仿宋" w:hAnsi="仿宋" w:eastAsia="仿宋" w:cs="仿宋"/>
          <w:sz w:val="28"/>
          <w:szCs w:val="28"/>
        </w:rPr>
        <w:t>（三）私募基金托管人名称（如无，应以显著字体特别标识）；</w:t>
      </w:r>
    </w:p>
    <w:p>
      <w:pPr>
        <w:rPr>
          <w:rFonts w:ascii="仿宋" w:hAnsi="仿宋" w:eastAsia="仿宋" w:cs="仿宋"/>
          <w:sz w:val="28"/>
          <w:szCs w:val="28"/>
        </w:rPr>
      </w:pPr>
      <w:r>
        <w:rPr>
          <w:rFonts w:hint="eastAsia" w:ascii="仿宋" w:hAnsi="仿宋" w:eastAsia="仿宋" w:cs="仿宋"/>
          <w:sz w:val="28"/>
          <w:szCs w:val="28"/>
        </w:rPr>
        <w:t>（四）私募基金的投资范围、投资策略和投资限制概况；</w:t>
      </w:r>
    </w:p>
    <w:p>
      <w:pPr>
        <w:rPr>
          <w:rFonts w:ascii="仿宋" w:hAnsi="仿宋" w:eastAsia="仿宋" w:cs="仿宋"/>
          <w:sz w:val="28"/>
          <w:szCs w:val="28"/>
        </w:rPr>
      </w:pPr>
      <w:r>
        <w:rPr>
          <w:rFonts w:hint="eastAsia" w:ascii="仿宋" w:hAnsi="仿宋" w:eastAsia="仿宋" w:cs="仿宋"/>
          <w:sz w:val="28"/>
          <w:szCs w:val="28"/>
        </w:rPr>
        <w:t>（五）私募基金收益与风险的匹配情况；</w:t>
      </w:r>
    </w:p>
    <w:p>
      <w:pPr>
        <w:rPr>
          <w:rFonts w:ascii="仿宋" w:hAnsi="仿宋" w:eastAsia="仿宋" w:cs="仿宋"/>
          <w:sz w:val="28"/>
          <w:szCs w:val="28"/>
        </w:rPr>
      </w:pPr>
      <w:r>
        <w:rPr>
          <w:rFonts w:hint="eastAsia" w:ascii="仿宋" w:hAnsi="仿宋" w:eastAsia="仿宋" w:cs="仿宋"/>
          <w:sz w:val="28"/>
          <w:szCs w:val="28"/>
        </w:rPr>
        <w:t>（六）私募基金的特殊风险揭示；</w:t>
      </w:r>
    </w:p>
    <w:p>
      <w:pPr>
        <w:rPr>
          <w:rFonts w:ascii="仿宋" w:hAnsi="仿宋" w:eastAsia="仿宋" w:cs="仿宋"/>
          <w:sz w:val="28"/>
          <w:szCs w:val="28"/>
        </w:rPr>
      </w:pPr>
      <w:r>
        <w:rPr>
          <w:rFonts w:hint="eastAsia" w:ascii="仿宋" w:hAnsi="仿宋" w:eastAsia="仿宋" w:cs="仿宋"/>
          <w:sz w:val="28"/>
          <w:szCs w:val="28"/>
        </w:rPr>
        <w:t>（七）私募基金募集结算资金专用账户信息；</w:t>
      </w:r>
    </w:p>
    <w:p>
      <w:pPr>
        <w:rPr>
          <w:rFonts w:ascii="仿宋" w:hAnsi="仿宋" w:eastAsia="仿宋" w:cs="仿宋"/>
          <w:sz w:val="28"/>
          <w:szCs w:val="28"/>
        </w:rPr>
      </w:pPr>
      <w:r>
        <w:rPr>
          <w:rFonts w:hint="eastAsia" w:ascii="仿宋" w:hAnsi="仿宋" w:eastAsia="仿宋" w:cs="仿宋"/>
          <w:sz w:val="28"/>
          <w:szCs w:val="28"/>
        </w:rPr>
        <w:t>（八）投资者承担的主要费用及费率；</w:t>
      </w:r>
    </w:p>
    <w:p>
      <w:pPr>
        <w:rPr>
          <w:rFonts w:ascii="仿宋" w:hAnsi="仿宋" w:eastAsia="仿宋" w:cs="仿宋"/>
          <w:sz w:val="28"/>
          <w:szCs w:val="28"/>
        </w:rPr>
      </w:pPr>
      <w:r>
        <w:rPr>
          <w:rFonts w:hint="eastAsia" w:ascii="仿宋" w:hAnsi="仿宋" w:eastAsia="仿宋" w:cs="仿宋"/>
          <w:sz w:val="28"/>
          <w:szCs w:val="28"/>
        </w:rPr>
        <w:t>（九）私募基金承担的主要费用及费率；</w:t>
      </w:r>
    </w:p>
    <w:p>
      <w:pPr>
        <w:rPr>
          <w:rFonts w:ascii="仿宋" w:hAnsi="仿宋" w:eastAsia="仿宋" w:cs="仿宋"/>
          <w:sz w:val="28"/>
          <w:szCs w:val="28"/>
        </w:rPr>
      </w:pPr>
      <w:r>
        <w:rPr>
          <w:rFonts w:hint="eastAsia" w:ascii="仿宋" w:hAnsi="仿宋" w:eastAsia="仿宋" w:cs="仿宋"/>
          <w:sz w:val="28"/>
          <w:szCs w:val="28"/>
        </w:rPr>
        <w:t>（十）私募基金信息披露的内容、方式及频率；</w:t>
      </w:r>
    </w:p>
    <w:p>
      <w:pPr>
        <w:rPr>
          <w:rFonts w:ascii="仿宋" w:hAnsi="仿宋" w:eastAsia="仿宋" w:cs="仿宋"/>
          <w:sz w:val="28"/>
          <w:szCs w:val="28"/>
        </w:rPr>
      </w:pPr>
      <w:r>
        <w:rPr>
          <w:rFonts w:hint="eastAsia" w:ascii="仿宋" w:hAnsi="仿宋" w:eastAsia="仿宋" w:cs="仿宋"/>
          <w:sz w:val="28"/>
          <w:szCs w:val="28"/>
        </w:rPr>
        <w:t>（十一）明确指出该文件不得转载或给第三方传阅；</w:t>
      </w:r>
    </w:p>
    <w:p>
      <w:pPr>
        <w:rPr>
          <w:rFonts w:ascii="仿宋" w:hAnsi="仿宋" w:eastAsia="仿宋" w:cs="仿宋"/>
          <w:sz w:val="28"/>
          <w:szCs w:val="28"/>
        </w:rPr>
      </w:pPr>
      <w:r>
        <w:rPr>
          <w:rFonts w:hint="eastAsia" w:ascii="仿宋" w:hAnsi="仿宋" w:eastAsia="仿宋" w:cs="仿宋"/>
          <w:sz w:val="28"/>
          <w:szCs w:val="28"/>
        </w:rPr>
        <w:t>（十二）中国基金业协会规定的其他内容。</w:t>
      </w:r>
    </w:p>
    <w:p>
      <w:pPr>
        <w:rPr>
          <w:rFonts w:ascii="仿宋" w:hAnsi="仿宋" w:eastAsia="仿宋" w:cs="仿宋"/>
          <w:sz w:val="28"/>
          <w:szCs w:val="28"/>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rPr>
        <w:t>采取合理方式向投资者揭示风险，确保推介材料中的相关内容清晰、醒目。</w:t>
      </w:r>
    </w:p>
    <w:p>
      <w:pPr>
        <w:rPr>
          <w:rFonts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rPr>
        <w:t>募集机构及其从业人员推介私募基金时，禁止以下行为：</w:t>
      </w:r>
    </w:p>
    <w:p>
      <w:pPr>
        <w:rPr>
          <w:rFonts w:ascii="仿宋" w:hAnsi="仿宋" w:eastAsia="仿宋" w:cs="仿宋"/>
          <w:sz w:val="28"/>
          <w:szCs w:val="28"/>
        </w:rPr>
      </w:pPr>
      <w:r>
        <w:rPr>
          <w:rFonts w:hint="eastAsia" w:ascii="仿宋" w:hAnsi="仿宋" w:eastAsia="仿宋" w:cs="仿宋"/>
          <w:sz w:val="28"/>
          <w:szCs w:val="28"/>
        </w:rPr>
        <w:t>（一）公开推介或者变相公开推介；</w:t>
      </w:r>
    </w:p>
    <w:p>
      <w:pPr>
        <w:rPr>
          <w:rFonts w:ascii="仿宋" w:hAnsi="仿宋" w:eastAsia="仿宋" w:cs="仿宋"/>
          <w:sz w:val="28"/>
          <w:szCs w:val="28"/>
        </w:rPr>
      </w:pPr>
      <w:r>
        <w:rPr>
          <w:rFonts w:hint="eastAsia" w:ascii="仿宋" w:hAnsi="仿宋" w:eastAsia="仿宋" w:cs="仿宋"/>
          <w:sz w:val="28"/>
          <w:szCs w:val="28"/>
        </w:rPr>
        <w:t>（二）推介材料虚假记载、误导性陈述或者重大遗漏；</w:t>
      </w:r>
    </w:p>
    <w:p>
      <w:pPr>
        <w:rPr>
          <w:rFonts w:ascii="仿宋" w:hAnsi="仿宋" w:eastAsia="仿宋" w:cs="仿宋"/>
          <w:sz w:val="28"/>
          <w:szCs w:val="28"/>
        </w:rPr>
      </w:pPr>
      <w:r>
        <w:rPr>
          <w:rFonts w:hint="eastAsia" w:ascii="仿宋" w:hAnsi="仿宋" w:eastAsia="仿宋" w:cs="仿宋"/>
          <w:sz w:val="28"/>
          <w:szCs w:val="28"/>
        </w:rPr>
        <w:t>（三）以任何方式承诺投资者资金不受损失，或者以任何方式承诺投</w:t>
      </w:r>
    </w:p>
    <w:p>
      <w:pPr>
        <w:rPr>
          <w:rFonts w:ascii="仿宋" w:hAnsi="仿宋" w:eastAsia="仿宋" w:cs="仿宋"/>
          <w:sz w:val="28"/>
          <w:szCs w:val="28"/>
        </w:rPr>
      </w:pPr>
      <w:r>
        <w:rPr>
          <w:rFonts w:hint="eastAsia" w:ascii="仿宋" w:hAnsi="仿宋" w:eastAsia="仿宋" w:cs="仿宋"/>
          <w:sz w:val="28"/>
          <w:szCs w:val="28"/>
        </w:rPr>
        <w:t>资者最低收益，包括宣传预期收益、预计收益、预测投资业绩等；</w:t>
      </w:r>
    </w:p>
    <w:p>
      <w:pPr>
        <w:rPr>
          <w:rFonts w:ascii="仿宋" w:hAnsi="仿宋" w:eastAsia="仿宋" w:cs="仿宋"/>
          <w:sz w:val="28"/>
          <w:szCs w:val="28"/>
        </w:rPr>
      </w:pPr>
      <w:r>
        <w:rPr>
          <w:rFonts w:hint="eastAsia" w:ascii="仿宋" w:hAnsi="仿宋" w:eastAsia="仿宋" w:cs="仿宋"/>
          <w:sz w:val="28"/>
          <w:szCs w:val="28"/>
        </w:rPr>
        <w:t>（四）夸大或者片面推介基金，违规使用安全、保证、承诺、保险、</w:t>
      </w:r>
    </w:p>
    <w:p>
      <w:pPr>
        <w:rPr>
          <w:rFonts w:ascii="仿宋" w:hAnsi="仿宋" w:eastAsia="仿宋" w:cs="仿宋"/>
          <w:sz w:val="28"/>
          <w:szCs w:val="28"/>
        </w:rPr>
      </w:pPr>
      <w:r>
        <w:rPr>
          <w:rFonts w:hint="eastAsia" w:ascii="仿宋" w:hAnsi="仿宋" w:eastAsia="仿宋" w:cs="仿宋"/>
          <w:sz w:val="28"/>
          <w:szCs w:val="28"/>
        </w:rPr>
        <w:t>避险、有保障、高收益、无风险等可能使投资人认为没有风险的表述；</w:t>
      </w:r>
    </w:p>
    <w:p>
      <w:pPr>
        <w:rPr>
          <w:rFonts w:ascii="仿宋" w:hAnsi="仿宋" w:eastAsia="仿宋" w:cs="仿宋"/>
          <w:sz w:val="28"/>
          <w:szCs w:val="28"/>
        </w:rPr>
      </w:pPr>
      <w:r>
        <w:rPr>
          <w:rFonts w:hint="eastAsia" w:ascii="仿宋" w:hAnsi="仿宋" w:eastAsia="仿宋" w:cs="仿宋"/>
          <w:sz w:val="28"/>
          <w:szCs w:val="28"/>
        </w:rPr>
        <w:t>（五）登载任何自然人、法人或者其他组织的祝贺性、恭维性或推荐</w:t>
      </w:r>
    </w:p>
    <w:p>
      <w:pPr>
        <w:rPr>
          <w:rFonts w:ascii="仿宋" w:hAnsi="仿宋" w:eastAsia="仿宋" w:cs="仿宋"/>
          <w:sz w:val="28"/>
          <w:szCs w:val="28"/>
        </w:rPr>
      </w:pPr>
      <w:r>
        <w:rPr>
          <w:rFonts w:hint="eastAsia" w:ascii="仿宋" w:hAnsi="仿宋" w:eastAsia="仿宋" w:cs="仿宋"/>
          <w:sz w:val="28"/>
          <w:szCs w:val="28"/>
        </w:rPr>
        <w:t>性的文字；</w:t>
      </w:r>
    </w:p>
    <w:p>
      <w:pPr>
        <w:rPr>
          <w:rFonts w:ascii="仿宋" w:hAnsi="仿宋" w:eastAsia="仿宋" w:cs="仿宋"/>
          <w:sz w:val="28"/>
          <w:szCs w:val="28"/>
        </w:rPr>
      </w:pPr>
      <w:r>
        <w:rPr>
          <w:rFonts w:hint="eastAsia" w:ascii="仿宋" w:hAnsi="仿宋" w:eastAsia="仿宋" w:cs="仿宋"/>
          <w:sz w:val="28"/>
          <w:szCs w:val="28"/>
        </w:rPr>
        <w:t>（六）恶意贬低同行；</w:t>
      </w:r>
    </w:p>
    <w:p>
      <w:pPr>
        <w:rPr>
          <w:rFonts w:ascii="仿宋" w:hAnsi="仿宋" w:eastAsia="仿宋" w:cs="仿宋"/>
          <w:sz w:val="28"/>
          <w:szCs w:val="28"/>
        </w:rPr>
      </w:pPr>
      <w:r>
        <w:rPr>
          <w:rFonts w:hint="eastAsia" w:ascii="仿宋" w:hAnsi="仿宋" w:eastAsia="仿宋" w:cs="仿宋"/>
          <w:sz w:val="28"/>
          <w:szCs w:val="28"/>
        </w:rPr>
        <w:t>（七）允许非本机构雇佣的人员进行推介；</w:t>
      </w:r>
    </w:p>
    <w:p>
      <w:pPr>
        <w:rPr>
          <w:rFonts w:ascii="仿宋" w:hAnsi="仿宋" w:eastAsia="仿宋" w:cs="仿宋"/>
          <w:sz w:val="28"/>
          <w:szCs w:val="28"/>
        </w:rPr>
      </w:pPr>
      <w:r>
        <w:rPr>
          <w:rFonts w:hint="eastAsia" w:ascii="仿宋" w:hAnsi="仿宋" w:eastAsia="仿宋" w:cs="仿宋"/>
          <w:sz w:val="28"/>
          <w:szCs w:val="28"/>
        </w:rPr>
        <w:t>（八）推介非本机构募集的私募基金；</w:t>
      </w:r>
    </w:p>
    <w:p>
      <w:pPr>
        <w:rPr>
          <w:rFonts w:ascii="仿宋" w:hAnsi="仿宋" w:eastAsia="仿宋" w:cs="仿宋"/>
          <w:sz w:val="28"/>
          <w:szCs w:val="28"/>
        </w:rPr>
      </w:pPr>
      <w:r>
        <w:rPr>
          <w:rFonts w:hint="eastAsia" w:ascii="仿宋" w:hAnsi="仿宋" w:eastAsia="仿宋" w:cs="仿宋"/>
          <w:sz w:val="28"/>
          <w:szCs w:val="28"/>
        </w:rPr>
        <w:t>（九）法律、行政法规、中国证监会的有关规定和中国基金业协会自</w:t>
      </w:r>
    </w:p>
    <w:p>
      <w:pPr>
        <w:rPr>
          <w:rFonts w:ascii="仿宋" w:hAnsi="仿宋" w:eastAsia="仿宋" w:cs="仿宋"/>
          <w:sz w:val="28"/>
          <w:szCs w:val="28"/>
        </w:rPr>
      </w:pPr>
      <w:r>
        <w:rPr>
          <w:rFonts w:hint="eastAsia" w:ascii="仿宋" w:hAnsi="仿宋" w:eastAsia="仿宋" w:cs="仿宋"/>
          <w:sz w:val="28"/>
          <w:szCs w:val="28"/>
        </w:rPr>
        <w:t>律规则禁止的其他行为。</w:t>
      </w:r>
    </w:p>
    <w:p>
      <w:pPr>
        <w:rPr>
          <w:rFonts w:ascii="仿宋" w:hAnsi="仿宋" w:eastAsia="仿宋" w:cs="仿宋"/>
          <w:sz w:val="28"/>
          <w:szCs w:val="28"/>
        </w:rPr>
      </w:pPr>
      <w:r>
        <w:rPr>
          <w:rFonts w:hint="eastAsia" w:ascii="仿宋" w:hAnsi="仿宋" w:eastAsia="仿宋" w:cs="仿宋"/>
          <w:sz w:val="28"/>
          <w:szCs w:val="28"/>
        </w:rPr>
        <w:t>第八条</w:t>
      </w:r>
      <w:r>
        <w:rPr>
          <w:rFonts w:ascii="仿宋" w:hAnsi="仿宋" w:eastAsia="仿宋" w:cs="仿宋"/>
          <w:sz w:val="28"/>
          <w:szCs w:val="28"/>
        </w:rPr>
        <w:t xml:space="preserve">  </w:t>
      </w:r>
      <w:r>
        <w:rPr>
          <w:rFonts w:hint="eastAsia" w:ascii="仿宋" w:hAnsi="仿宋" w:eastAsia="仿宋" w:cs="仿宋"/>
          <w:sz w:val="28"/>
          <w:szCs w:val="28"/>
        </w:rPr>
        <w:t>募集机构不得通过下列媒介渠道推介私募基金：</w:t>
      </w:r>
    </w:p>
    <w:p>
      <w:pPr>
        <w:rPr>
          <w:rFonts w:ascii="仿宋" w:hAnsi="仿宋" w:eastAsia="仿宋" w:cs="仿宋"/>
          <w:sz w:val="28"/>
          <w:szCs w:val="28"/>
        </w:rPr>
      </w:pPr>
      <w:r>
        <w:rPr>
          <w:rFonts w:hint="eastAsia" w:ascii="仿宋" w:hAnsi="仿宋" w:eastAsia="仿宋" w:cs="仿宋"/>
          <w:sz w:val="28"/>
          <w:szCs w:val="28"/>
        </w:rPr>
        <w:t>（一）公开出版资料；</w:t>
      </w:r>
    </w:p>
    <w:p>
      <w:pPr>
        <w:rPr>
          <w:rFonts w:ascii="仿宋" w:hAnsi="仿宋" w:eastAsia="仿宋" w:cs="仿宋"/>
          <w:sz w:val="28"/>
          <w:szCs w:val="28"/>
        </w:rPr>
      </w:pPr>
      <w:r>
        <w:rPr>
          <w:rFonts w:hint="eastAsia" w:ascii="仿宋" w:hAnsi="仿宋" w:eastAsia="仿宋" w:cs="仿宋"/>
          <w:sz w:val="28"/>
          <w:szCs w:val="28"/>
        </w:rPr>
        <w:t>（二）面向社会公众的宣</w:t>
      </w:r>
      <w:bookmarkStart w:id="0" w:name="_GoBack"/>
      <w:bookmarkEnd w:id="0"/>
      <w:r>
        <w:rPr>
          <w:rFonts w:hint="eastAsia" w:ascii="仿宋" w:hAnsi="仿宋" w:eastAsia="仿宋" w:cs="仿宋"/>
          <w:sz w:val="28"/>
          <w:szCs w:val="28"/>
        </w:rPr>
        <w:t>传单、布告、手册、信函、传真；</w:t>
      </w:r>
    </w:p>
    <w:p>
      <w:pPr>
        <w:rPr>
          <w:rFonts w:ascii="仿宋" w:hAnsi="仿宋" w:eastAsia="仿宋" w:cs="仿宋"/>
          <w:sz w:val="28"/>
          <w:szCs w:val="28"/>
        </w:rPr>
      </w:pPr>
      <w:r>
        <w:rPr>
          <w:rFonts w:hint="eastAsia" w:ascii="仿宋" w:hAnsi="仿宋" w:eastAsia="仿宋" w:cs="仿宋"/>
          <w:sz w:val="28"/>
          <w:szCs w:val="28"/>
        </w:rPr>
        <w:t>（三）未经邀约面向公众的讲座、报告会、分析会；</w:t>
      </w:r>
    </w:p>
    <w:p>
      <w:pPr>
        <w:rPr>
          <w:rFonts w:ascii="仿宋" w:hAnsi="仿宋" w:eastAsia="仿宋" w:cs="仿宋"/>
          <w:sz w:val="28"/>
          <w:szCs w:val="28"/>
        </w:rPr>
      </w:pPr>
      <w:r>
        <w:rPr>
          <w:rFonts w:hint="eastAsia" w:ascii="仿宋" w:hAnsi="仿宋" w:eastAsia="仿宋" w:cs="仿宋"/>
          <w:sz w:val="28"/>
          <w:szCs w:val="28"/>
        </w:rPr>
        <w:t>（四）海报、户外广告；</w:t>
      </w:r>
    </w:p>
    <w:p>
      <w:pPr>
        <w:rPr>
          <w:rFonts w:ascii="仿宋" w:hAnsi="仿宋" w:eastAsia="仿宋" w:cs="仿宋"/>
          <w:sz w:val="28"/>
          <w:szCs w:val="28"/>
        </w:rPr>
      </w:pPr>
      <w:r>
        <w:rPr>
          <w:rFonts w:hint="eastAsia" w:ascii="仿宋" w:hAnsi="仿宋" w:eastAsia="仿宋" w:cs="仿宋"/>
          <w:sz w:val="28"/>
          <w:szCs w:val="28"/>
        </w:rPr>
        <w:t>（五）电视、电影、电台及其他音像等公共传播媒体；</w:t>
      </w:r>
    </w:p>
    <w:p>
      <w:pPr>
        <w:rPr>
          <w:rFonts w:ascii="仿宋" w:hAnsi="仿宋" w:eastAsia="仿宋" w:cs="仿宋"/>
          <w:sz w:val="28"/>
          <w:szCs w:val="28"/>
        </w:rPr>
      </w:pPr>
      <w:r>
        <w:rPr>
          <w:rFonts w:hint="eastAsia" w:ascii="仿宋" w:hAnsi="仿宋" w:eastAsia="仿宋" w:cs="仿宋"/>
          <w:sz w:val="28"/>
          <w:szCs w:val="28"/>
        </w:rPr>
        <w:t>（六）公共网站链接广告、博客等；</w:t>
      </w:r>
    </w:p>
    <w:p>
      <w:pPr>
        <w:rPr>
          <w:rFonts w:ascii="仿宋" w:hAnsi="仿宋" w:eastAsia="仿宋" w:cs="仿宋"/>
          <w:sz w:val="28"/>
          <w:szCs w:val="28"/>
        </w:rPr>
      </w:pPr>
      <w:r>
        <w:rPr>
          <w:rFonts w:hint="eastAsia" w:ascii="仿宋" w:hAnsi="仿宋" w:eastAsia="仿宋" w:cs="仿宋"/>
          <w:sz w:val="28"/>
          <w:szCs w:val="28"/>
        </w:rPr>
        <w:t>（七）未设置特定对象调查程序的募集机构官方网站、微信朋友圈等</w:t>
      </w:r>
    </w:p>
    <w:p>
      <w:pPr>
        <w:rPr>
          <w:rFonts w:ascii="仿宋" w:hAnsi="仿宋" w:eastAsia="仿宋" w:cs="仿宋"/>
          <w:sz w:val="28"/>
          <w:szCs w:val="28"/>
        </w:rPr>
      </w:pPr>
      <w:r>
        <w:rPr>
          <w:rFonts w:hint="eastAsia" w:ascii="仿宋" w:hAnsi="仿宋" w:eastAsia="仿宋" w:cs="仿宋"/>
          <w:sz w:val="28"/>
          <w:szCs w:val="28"/>
        </w:rPr>
        <w:t>互联网媒介；</w:t>
      </w:r>
    </w:p>
    <w:p>
      <w:pPr>
        <w:rPr>
          <w:rFonts w:ascii="仿宋" w:hAnsi="仿宋" w:eastAsia="仿宋" w:cs="仿宋"/>
          <w:sz w:val="28"/>
          <w:szCs w:val="28"/>
        </w:rPr>
      </w:pPr>
      <w:r>
        <w:rPr>
          <w:rFonts w:hint="eastAsia" w:ascii="仿宋" w:hAnsi="仿宋" w:eastAsia="仿宋" w:cs="仿宋"/>
          <w:sz w:val="28"/>
          <w:szCs w:val="28"/>
        </w:rPr>
        <w:t>（八）未经特定对象调查程序的电话、短信和电子邮件等通讯媒介；</w:t>
      </w:r>
    </w:p>
    <w:p>
      <w:pPr>
        <w:rPr>
          <w:rFonts w:ascii="仿宋" w:hAnsi="仿宋" w:eastAsia="仿宋" w:cs="仿宋"/>
          <w:sz w:val="28"/>
          <w:szCs w:val="28"/>
        </w:rPr>
      </w:pPr>
      <w:r>
        <w:rPr>
          <w:rFonts w:hint="eastAsia" w:ascii="仿宋" w:hAnsi="仿宋" w:eastAsia="仿宋" w:cs="仿宋"/>
          <w:sz w:val="28"/>
          <w:szCs w:val="28"/>
        </w:rPr>
        <w:t>（九）法律、行政法规、中国证监会的有关规定和中国基金业协会自</w:t>
      </w:r>
    </w:p>
    <w:p>
      <w:pPr>
        <w:rPr>
          <w:rFonts w:ascii="仿宋" w:hAnsi="仿宋" w:eastAsia="仿宋" w:cs="仿宋"/>
          <w:sz w:val="28"/>
          <w:szCs w:val="28"/>
        </w:rPr>
      </w:pPr>
      <w:r>
        <w:rPr>
          <w:rFonts w:hint="eastAsia" w:ascii="仿宋" w:hAnsi="仿宋" w:eastAsia="仿宋" w:cs="仿宋"/>
          <w:sz w:val="28"/>
          <w:szCs w:val="28"/>
        </w:rPr>
        <w:t>律规则禁止的其他行为。</w:t>
      </w:r>
    </w:p>
    <w:p>
      <w:pPr>
        <w:rPr>
          <w:rFonts w:ascii="仿宋" w:hAnsi="仿宋" w:eastAsia="仿宋" w:cs="仿宋"/>
          <w:sz w:val="28"/>
          <w:szCs w:val="28"/>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公司宣传推介工作由</w:t>
      </w:r>
      <w:r>
        <w:rPr>
          <w:rFonts w:hint="eastAsia" w:ascii="仿宋" w:hAnsi="仿宋" w:eastAsia="仿宋" w:cs="仿宋"/>
          <w:sz w:val="28"/>
          <w:szCs w:val="28"/>
          <w:lang w:val="en-US" w:eastAsia="zh-CN"/>
        </w:rPr>
        <w:t>市场</w:t>
      </w:r>
      <w:r>
        <w:rPr>
          <w:rFonts w:hint="eastAsia" w:ascii="仿宋" w:hAnsi="仿宋" w:eastAsia="仿宋" w:cs="仿宋"/>
          <w:sz w:val="28"/>
          <w:szCs w:val="28"/>
        </w:rPr>
        <w:t>部门牵头并负责，风险合规部门就合法合规性进行监督。</w:t>
      </w:r>
    </w:p>
    <w:p>
      <w:pPr>
        <w:jc w:val="center"/>
        <w:rPr>
          <w:rFonts w:ascii="仿宋" w:hAnsi="仿宋" w:eastAsia="仿宋" w:cs="仿宋"/>
          <w:b/>
          <w:bCs/>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rPr>
          <w:rFonts w:ascii="仿宋" w:hAnsi="仿宋" w:eastAsia="仿宋" w:cs="仿宋"/>
          <w:sz w:val="28"/>
          <w:szCs w:val="28"/>
        </w:rPr>
      </w:pPr>
      <w:r>
        <w:rPr>
          <w:rFonts w:hint="eastAsia" w:ascii="仿宋" w:hAnsi="仿宋" w:eastAsia="仿宋" w:cs="仿宋"/>
          <w:sz w:val="28"/>
          <w:szCs w:val="28"/>
        </w:rPr>
        <w:t>第十条</w:t>
      </w:r>
      <w:r>
        <w:rPr>
          <w:rFonts w:ascii="仿宋" w:hAnsi="仿宋" w:eastAsia="仿宋" w:cs="仿宋"/>
          <w:sz w:val="28"/>
          <w:szCs w:val="28"/>
        </w:rPr>
        <w:t xml:space="preserve">  </w:t>
      </w:r>
      <w:r>
        <w:rPr>
          <w:rFonts w:hint="eastAsia" w:ascii="仿宋" w:hAnsi="仿宋" w:eastAsia="仿宋" w:cs="仿宋"/>
          <w:sz w:val="28"/>
          <w:szCs w:val="28"/>
        </w:rPr>
        <w:t>公司将根据法律法规的变化、上级主管机关的要求或公司经营管理的需要，及时对该制度做出相应的调整，调整内容另行公布。</w:t>
      </w:r>
    </w:p>
    <w:p>
      <w:pPr>
        <w:rPr>
          <w:rFonts w:ascii="仿宋" w:hAnsi="仿宋" w:eastAsia="仿宋" w:cs="仿宋"/>
          <w:sz w:val="28"/>
          <w:szCs w:val="28"/>
        </w:rPr>
      </w:pPr>
      <w:r>
        <w:rPr>
          <w:rFonts w:hint="eastAsia" w:ascii="仿宋" w:hAnsi="仿宋" w:eastAsia="仿宋" w:cs="仿宋"/>
          <w:sz w:val="28"/>
          <w:szCs w:val="28"/>
        </w:rPr>
        <w:t>第十一条</w:t>
      </w:r>
      <w:r>
        <w:rPr>
          <w:rFonts w:ascii="仿宋" w:hAnsi="仿宋" w:eastAsia="仿宋" w:cs="仿宋"/>
          <w:sz w:val="28"/>
          <w:szCs w:val="28"/>
        </w:rPr>
        <w:t xml:space="preserve">  </w:t>
      </w:r>
      <w:r>
        <w:rPr>
          <w:rFonts w:hint="eastAsia" w:ascii="仿宋" w:hAnsi="仿宋" w:eastAsia="仿宋" w:cs="仿宋"/>
          <w:sz w:val="28"/>
          <w:szCs w:val="28"/>
        </w:rPr>
        <w:t>本制度由本公司负责解释和修订，并自公布之日起实施。</w:t>
      </w:r>
    </w:p>
    <w:p>
      <w:pPr>
        <w:tabs>
          <w:tab w:val="left" w:pos="624"/>
          <w:tab w:val="left" w:pos="1980"/>
          <w:tab w:val="left" w:pos="2520"/>
        </w:tabs>
        <w:spacing w:beforeLines="50" w:line="520" w:lineRule="exact"/>
        <w:jc w:val="left"/>
        <w:rPr>
          <w:rFonts w:ascii="仿宋" w:hAnsi="仿宋" w:eastAsia="仿宋" w:cs="仿宋"/>
          <w:sz w:val="28"/>
          <w:szCs w:val="28"/>
        </w:rPr>
      </w:pPr>
      <w:r>
        <w:rPr>
          <w:rFonts w:eastAsia="仿宋_GB2312"/>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pPr>
      <w:r>
        <w:rPr>
          <w:rFonts w:hint="eastAsia" w:ascii="仿宋" w:hAnsi="仿宋" w:eastAsia="仿宋" w:cs="仿宋"/>
          <w:sz w:val="28"/>
          <w:szCs w:val="28"/>
        </w:rPr>
        <w:t>2016年</w:t>
      </w:r>
      <w:r>
        <w:rPr>
          <w:rFonts w:hint="eastAsia" w:ascii="仿宋" w:hAnsi="仿宋" w:eastAsia="仿宋" w:cs="仿宋"/>
          <w:sz w:val="28"/>
          <w:szCs w:val="28"/>
          <w:lang w:val="en-US" w:eastAsia="zh-CN"/>
        </w:rPr>
        <w:t>6</w:t>
      </w:r>
      <w:r>
        <w:rPr>
          <w:rFonts w:hint="eastAsia" w:ascii="仿宋" w:hAnsi="仿宋" w:eastAsia="仿宋" w:cs="仿宋"/>
          <w:sz w:val="28"/>
          <w:szCs w:val="28"/>
        </w:rPr>
        <w:t>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32384"/>
    <w:rsid w:val="00051759"/>
    <w:rsid w:val="00121BA4"/>
    <w:rsid w:val="00133F65"/>
    <w:rsid w:val="00175DD8"/>
    <w:rsid w:val="002304EB"/>
    <w:rsid w:val="003637CC"/>
    <w:rsid w:val="003670EA"/>
    <w:rsid w:val="004762BE"/>
    <w:rsid w:val="005211E2"/>
    <w:rsid w:val="00551F8E"/>
    <w:rsid w:val="00577103"/>
    <w:rsid w:val="0078197D"/>
    <w:rsid w:val="00866617"/>
    <w:rsid w:val="008E21D4"/>
    <w:rsid w:val="00A32384"/>
    <w:rsid w:val="00B92AD5"/>
    <w:rsid w:val="00BF35ED"/>
    <w:rsid w:val="00D90539"/>
    <w:rsid w:val="00DA5E2B"/>
    <w:rsid w:val="00DB6396"/>
    <w:rsid w:val="00DD3498"/>
    <w:rsid w:val="00FA13A7"/>
    <w:rsid w:val="0CC84524"/>
    <w:rsid w:val="17614105"/>
    <w:rsid w:val="2FC6397E"/>
    <w:rsid w:val="327B7C58"/>
    <w:rsid w:val="418412D4"/>
    <w:rsid w:val="613144F3"/>
    <w:rsid w:val="7DBD7BC6"/>
    <w:rsid w:val="7FAD6D3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cs="Times New Roman"/>
      <w:sz w:val="18"/>
      <w:szCs w:val="18"/>
    </w:rPr>
  </w:style>
  <w:style w:type="character" w:customStyle="1" w:styleId="7">
    <w:name w:val="页脚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215</Words>
  <Characters>1230</Characters>
  <Lines>10</Lines>
  <Paragraphs>2</Paragraphs>
  <ScaleCrop>false</ScaleCrop>
  <LinksUpToDate>false</LinksUpToDate>
  <CharactersWithSpaces>1443</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2016-06-07T01:51:00Z</dcterms:created>
  <dc:creator>AutoBVT</dc:creator>
  <cp:lastModifiedBy>曹文杰</cp:lastModifiedBy>
  <dcterms:modified xsi:type="dcterms:W3CDTF">2016-08-06T06:49:08Z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