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242" w:leftChars="101" w:firstLine="35" w:firstLineChars="11"/>
        <w:jc w:val="center"/>
        <w:rPr>
          <w:rFonts w:ascii="仿宋" w:hAnsi="仿宋" w:eastAsia="仿宋" w:cs="仿宋"/>
          <w:b/>
          <w:bCs/>
          <w:kern w:val="44"/>
          <w:sz w:val="32"/>
          <w:szCs w:val="32"/>
        </w:rPr>
      </w:pPr>
      <w:r>
        <w:rPr>
          <w:rFonts w:hint="eastAsia" w:ascii="仿宋" w:hAnsi="仿宋" w:eastAsia="仿宋" w:cs="仿宋"/>
          <w:b/>
          <w:bCs/>
          <w:kern w:val="44"/>
          <w:sz w:val="32"/>
          <w:szCs w:val="32"/>
          <w:lang w:eastAsia="zh-CN"/>
        </w:rPr>
        <w:t>深圳亿库资本管理有限公司</w:t>
      </w:r>
    </w:p>
    <w:p>
      <w:pPr>
        <w:spacing w:line="580" w:lineRule="exact"/>
        <w:ind w:left="242" w:leftChars="101" w:firstLine="35" w:firstLineChars="11"/>
        <w:jc w:val="center"/>
        <w:rPr>
          <w:rFonts w:ascii="仿宋" w:hAnsi="仿宋" w:eastAsia="仿宋" w:cs="仿宋"/>
          <w:b/>
          <w:bCs/>
          <w:kern w:val="44"/>
          <w:sz w:val="32"/>
          <w:szCs w:val="32"/>
        </w:rPr>
      </w:pPr>
      <w:r>
        <w:rPr>
          <w:rFonts w:hint="eastAsia" w:ascii="仿宋" w:hAnsi="仿宋" w:eastAsia="仿宋" w:cs="仿宋"/>
          <w:b/>
          <w:bCs/>
          <w:kern w:val="44"/>
          <w:sz w:val="32"/>
          <w:szCs w:val="32"/>
        </w:rPr>
        <w:t>基金托管与外包业务管理制度</w:t>
      </w:r>
    </w:p>
    <w:p>
      <w:pPr>
        <w:spacing w:line="580" w:lineRule="exact"/>
        <w:ind w:firstLine="0" w:firstLineChars="0"/>
        <w:rPr>
          <w:rFonts w:ascii="仿宋_GB2312" w:hAnsi="仿宋" w:eastAsia="仿宋_GB2312"/>
          <w:sz w:val="28"/>
          <w:szCs w:val="28"/>
        </w:rPr>
      </w:pPr>
    </w:p>
    <w:p>
      <w:pPr>
        <w:pStyle w:val="17"/>
        <w:spacing w:line="580" w:lineRule="exact"/>
        <w:ind w:firstLine="480"/>
        <w:rPr>
          <w:rFonts w:ascii="仿宋" w:eastAsia="仿宋"/>
          <w:szCs w:val="28"/>
        </w:rPr>
      </w:pPr>
      <w:r>
        <w:rPr>
          <w:rFonts w:hint="eastAsia" w:ascii="仿宋" w:eastAsia="仿宋"/>
          <w:szCs w:val="28"/>
        </w:rPr>
        <w:t>第一章</w:t>
      </w:r>
      <w:r>
        <w:rPr>
          <w:rFonts w:ascii="仿宋" w:eastAsia="仿宋"/>
          <w:szCs w:val="28"/>
        </w:rPr>
        <w:t xml:space="preserve">   </w:t>
      </w:r>
      <w:r>
        <w:rPr>
          <w:rFonts w:hint="eastAsia" w:ascii="仿宋" w:eastAsia="仿宋"/>
          <w:szCs w:val="28"/>
        </w:rPr>
        <w:t>总则</w:t>
      </w:r>
    </w:p>
    <w:p>
      <w:pPr>
        <w:pStyle w:val="19"/>
        <w:spacing w:line="580" w:lineRule="exact"/>
        <w:ind w:left="0" w:firstLine="567"/>
        <w:rPr>
          <w:rFonts w:ascii="仿宋" w:hAnsi="仿宋" w:eastAsia="仿宋"/>
        </w:rPr>
      </w:pPr>
      <w:r>
        <w:rPr>
          <w:rFonts w:hint="eastAsia" w:ascii="仿宋" w:hAnsi="仿宋" w:eastAsia="仿宋"/>
        </w:rPr>
        <w:t>为了规范本公司基金</w:t>
      </w:r>
      <w:bookmarkStart w:id="3" w:name="_GoBack"/>
      <w:bookmarkEnd w:id="3"/>
      <w:r>
        <w:rPr>
          <w:rFonts w:hint="eastAsia" w:ascii="仿宋" w:hAnsi="仿宋" w:eastAsia="仿宋"/>
        </w:rPr>
        <w:t>托管与运营外包业务。根据《中华人民共和国证券投资基金法》、《私募投资基金监督管理暂行办法》、《私募投资基金管理人内部控制指引》、</w:t>
      </w:r>
      <w:r>
        <w:rPr>
          <w:rFonts w:hint="eastAsia" w:ascii="仿宋" w:hAnsi="仿宋" w:eastAsia="仿宋"/>
          <w:color w:val="333333"/>
        </w:rPr>
        <w:t>《基金业务外包服务指引》</w:t>
      </w:r>
      <w:r>
        <w:rPr>
          <w:rFonts w:hint="eastAsia" w:ascii="仿宋" w:hAnsi="仿宋" w:eastAsia="仿宋"/>
        </w:rPr>
        <w:t>等法律法规、规范性法律文件及相关监管要求制定本制度。</w:t>
      </w:r>
    </w:p>
    <w:p>
      <w:pPr>
        <w:pStyle w:val="19"/>
        <w:spacing w:line="580" w:lineRule="exact"/>
        <w:ind w:left="0" w:firstLine="567"/>
        <w:rPr>
          <w:rFonts w:ascii="仿宋" w:hAnsi="仿宋" w:eastAsia="仿宋"/>
        </w:rPr>
      </w:pPr>
      <w:r>
        <w:rPr>
          <w:rFonts w:hint="eastAsia" w:ascii="仿宋" w:hAnsi="仿宋" w:eastAsia="仿宋"/>
        </w:rPr>
        <w:t>基金托管机构是指依法设立的具有托管资质的商业银行或者其他具备托管资格的金融机构。商业银行担任基金托管机构的，由国务院证券监督管理机构会同国务院银行业监督管理机构核准；其他金融机构担任基金托管机构的，由国务院证券监督管理机构核准。</w:t>
      </w:r>
    </w:p>
    <w:p>
      <w:pPr>
        <w:pStyle w:val="19"/>
        <w:spacing w:line="580" w:lineRule="exact"/>
        <w:ind w:left="0" w:firstLine="567"/>
        <w:rPr>
          <w:rFonts w:ascii="仿宋" w:hAnsi="仿宋" w:eastAsia="仿宋"/>
          <w:lang w:val="zh-TW"/>
        </w:rPr>
      </w:pPr>
      <w:r>
        <w:rPr>
          <w:rFonts w:hint="eastAsia" w:ascii="仿宋" w:hAnsi="仿宋" w:eastAsia="仿宋"/>
          <w:lang w:val="zh-TW"/>
        </w:rPr>
        <w:t>外包服务机构是指基金业务外包服务机构（以下简称“外包机构”</w:t>
      </w:r>
      <w:r>
        <w:rPr>
          <w:rFonts w:hint="eastAsia" w:ascii="仿宋" w:hAnsi="仿宋" w:eastAsia="仿宋"/>
        </w:rPr>
        <w:t>）</w:t>
      </w:r>
      <w:r>
        <w:rPr>
          <w:rFonts w:hint="eastAsia" w:ascii="仿宋" w:hAnsi="仿宋" w:eastAsia="仿宋"/>
          <w:lang w:val="zh-TW"/>
        </w:rPr>
        <w:t>为基金管理人提供销售、销售支付、份额登记、估值核算、信息技术系统等业务的服务。</w:t>
      </w:r>
    </w:p>
    <w:p>
      <w:pPr>
        <w:pStyle w:val="19"/>
        <w:spacing w:line="580" w:lineRule="exact"/>
        <w:ind w:left="0" w:firstLine="567"/>
        <w:rPr>
          <w:rFonts w:ascii="仿宋" w:hAnsi="仿宋" w:eastAsia="仿宋"/>
          <w:lang w:val="zh-TW"/>
        </w:rPr>
      </w:pPr>
      <w:r>
        <w:rPr>
          <w:rFonts w:hint="eastAsia" w:ascii="仿宋" w:hAnsi="仿宋" w:eastAsia="仿宋"/>
          <w:lang w:val="zh-TW"/>
        </w:rPr>
        <w:t>外包机构包括为私募基金管理人提供募集服务的在中国证监会注册取得基金销售业务资格且成为中国基金业协会会员的机构（简称基金销售机构），为私募基金募集机构提供支付结算服务、私募基金募集结算资金监督、份额登记等与私募基金募集业务相关服务的机构。</w:t>
      </w:r>
    </w:p>
    <w:p>
      <w:pPr>
        <w:pStyle w:val="17"/>
        <w:spacing w:line="580" w:lineRule="exact"/>
        <w:ind w:firstLine="454"/>
        <w:rPr>
          <w:rFonts w:ascii="仿宋" w:eastAsia="仿宋"/>
          <w:w w:val="95"/>
          <w:szCs w:val="28"/>
        </w:rPr>
      </w:pPr>
      <w:r>
        <w:rPr>
          <w:rFonts w:hint="eastAsia" w:ascii="仿宋" w:eastAsia="仿宋"/>
          <w:w w:val="95"/>
          <w:szCs w:val="28"/>
        </w:rPr>
        <w:t>第二章</w:t>
      </w:r>
      <w:r>
        <w:rPr>
          <w:rFonts w:ascii="仿宋" w:eastAsia="仿宋"/>
          <w:w w:val="95"/>
          <w:szCs w:val="28"/>
        </w:rPr>
        <w:t xml:space="preserve">   </w:t>
      </w:r>
      <w:r>
        <w:rPr>
          <w:rFonts w:hint="eastAsia" w:ascii="仿宋" w:eastAsia="仿宋"/>
          <w:w w:val="95"/>
          <w:szCs w:val="28"/>
        </w:rPr>
        <w:t>托管机构遴选与管理</w:t>
      </w:r>
    </w:p>
    <w:p>
      <w:pPr>
        <w:pStyle w:val="19"/>
        <w:spacing w:line="580" w:lineRule="exact"/>
        <w:ind w:left="0" w:firstLine="567"/>
        <w:rPr>
          <w:rFonts w:ascii="仿宋" w:hAnsi="仿宋" w:eastAsia="仿宋"/>
        </w:rPr>
      </w:pPr>
      <w:r>
        <w:rPr>
          <w:rFonts w:hint="eastAsia" w:ascii="仿宋" w:hAnsi="仿宋" w:eastAsia="仿宋"/>
        </w:rPr>
        <w:t>公司所管理的产品原则上都应选定托管机构进行托管，如不进行托管的，应在基金合同中进行约定，并建立独立的保障私募基金财产安全的制度措施和纠纷解决机制。</w:t>
      </w:r>
    </w:p>
    <w:p>
      <w:pPr>
        <w:pStyle w:val="19"/>
        <w:spacing w:line="580" w:lineRule="exact"/>
        <w:ind w:left="0" w:firstLine="567"/>
        <w:rPr>
          <w:rFonts w:ascii="仿宋" w:hAnsi="仿宋" w:eastAsia="仿宋"/>
        </w:rPr>
      </w:pPr>
      <w:r>
        <w:rPr>
          <w:rFonts w:hint="eastAsia" w:ascii="仿宋" w:hAnsi="仿宋" w:eastAsia="仿宋"/>
        </w:rPr>
        <w:t>公司风控合规部门负责托管机构遴选工作，遴选工作应主要核查以下内容：</w:t>
      </w:r>
    </w:p>
    <w:p>
      <w:pPr>
        <w:pStyle w:val="19"/>
        <w:numPr>
          <w:ilvl w:val="0"/>
          <w:numId w:val="0"/>
        </w:numPr>
        <w:spacing w:line="580" w:lineRule="exact"/>
        <w:ind w:firstLine="420" w:firstLineChars="150"/>
        <w:rPr>
          <w:rFonts w:ascii="仿宋" w:hAnsi="仿宋" w:eastAsia="仿宋"/>
        </w:rPr>
      </w:pPr>
      <w:r>
        <w:rPr>
          <w:rFonts w:hint="eastAsia" w:ascii="仿宋" w:hAnsi="仿宋" w:eastAsia="仿宋"/>
        </w:rPr>
        <w:t>（一）属地经营：原则上应当满足基金的托管机构、托管账户与基金注册地需保持一致。</w:t>
      </w:r>
    </w:p>
    <w:p>
      <w:pPr>
        <w:pStyle w:val="19"/>
        <w:numPr>
          <w:ilvl w:val="0"/>
          <w:numId w:val="0"/>
        </w:numPr>
        <w:spacing w:line="580" w:lineRule="exact"/>
        <w:ind w:firstLine="420" w:firstLineChars="150"/>
        <w:rPr>
          <w:rFonts w:ascii="仿宋" w:hAnsi="仿宋" w:eastAsia="仿宋"/>
        </w:rPr>
      </w:pPr>
      <w:r>
        <w:rPr>
          <w:rFonts w:hint="eastAsia" w:ascii="仿宋" w:hAnsi="仿宋" w:eastAsia="仿宋"/>
        </w:rPr>
        <w:t>（二）资质管理：托管机构需具备托管资质，托管机构的净资产和风险控制指标应当符合相关规定。</w:t>
      </w:r>
    </w:p>
    <w:p>
      <w:pPr>
        <w:pStyle w:val="19"/>
        <w:numPr>
          <w:ilvl w:val="0"/>
          <w:numId w:val="0"/>
        </w:numPr>
        <w:spacing w:line="580" w:lineRule="exact"/>
        <w:ind w:firstLine="420" w:firstLineChars="150"/>
        <w:rPr>
          <w:rFonts w:ascii="仿宋" w:hAnsi="仿宋" w:eastAsia="仿宋"/>
        </w:rPr>
      </w:pPr>
      <w:r>
        <w:rPr>
          <w:rFonts w:hint="eastAsia" w:ascii="仿宋" w:hAnsi="仿宋" w:eastAsia="仿宋"/>
        </w:rPr>
        <w:t>（三）费率合理：托管机构的费率不得高于同期市场平均水平。</w:t>
      </w:r>
    </w:p>
    <w:p>
      <w:pPr>
        <w:pStyle w:val="19"/>
        <w:numPr>
          <w:ilvl w:val="0"/>
          <w:numId w:val="3"/>
        </w:numPr>
        <w:spacing w:line="580" w:lineRule="exact"/>
        <w:rPr>
          <w:rFonts w:ascii="仿宋" w:hAnsi="仿宋" w:eastAsia="仿宋"/>
        </w:rPr>
      </w:pPr>
      <w:r>
        <w:rPr>
          <w:rFonts w:hint="eastAsia" w:ascii="仿宋" w:hAnsi="仿宋" w:eastAsia="仿宋"/>
        </w:rPr>
        <w:t>协议合规：管理人和托管机构必须签订标准的托管协议。</w:t>
      </w:r>
      <w:bookmarkStart w:id="0" w:name="2"/>
      <w:bookmarkEnd w:id="0"/>
    </w:p>
    <w:p>
      <w:pPr>
        <w:pStyle w:val="19"/>
        <w:numPr>
          <w:ilvl w:val="0"/>
          <w:numId w:val="0"/>
        </w:numPr>
        <w:spacing w:line="580" w:lineRule="exact"/>
        <w:ind w:firstLine="420" w:firstLineChars="150"/>
        <w:rPr>
          <w:rFonts w:ascii="仿宋" w:hAnsi="仿宋" w:eastAsia="仿宋"/>
        </w:rPr>
      </w:pPr>
      <w:r>
        <w:rPr>
          <w:rFonts w:hint="eastAsia" w:ascii="仿宋" w:hAnsi="仿宋" w:eastAsia="仿宋"/>
        </w:rPr>
        <w:t>（六）内控规范：托管机构具有完善的内控机制与操作规范，有完善的内部稽核监控制度和风险控制制度</w:t>
      </w:r>
    </w:p>
    <w:p>
      <w:pPr>
        <w:pStyle w:val="19"/>
        <w:numPr>
          <w:ilvl w:val="0"/>
          <w:numId w:val="3"/>
        </w:numPr>
        <w:spacing w:line="580" w:lineRule="exact"/>
        <w:rPr>
          <w:rFonts w:ascii="仿宋" w:hAnsi="仿宋" w:eastAsia="仿宋"/>
        </w:rPr>
      </w:pPr>
      <w:r>
        <w:rPr>
          <w:rFonts w:hint="eastAsia" w:ascii="仿宋" w:hAnsi="仿宋" w:eastAsia="仿宋"/>
        </w:rPr>
        <w:t>托管机构需要满足我方划款对于时效性的要求。</w:t>
      </w:r>
    </w:p>
    <w:p>
      <w:pPr>
        <w:pStyle w:val="19"/>
        <w:numPr>
          <w:ilvl w:val="0"/>
          <w:numId w:val="0"/>
        </w:numPr>
        <w:spacing w:line="580" w:lineRule="exact"/>
        <w:ind w:firstLine="420" w:firstLineChars="150"/>
        <w:rPr>
          <w:rFonts w:ascii="仿宋" w:hAnsi="仿宋" w:eastAsia="仿宋"/>
        </w:rPr>
      </w:pPr>
      <w:r>
        <w:rPr>
          <w:rFonts w:hint="eastAsia" w:ascii="仿宋" w:hAnsi="仿宋" w:eastAsia="仿宋"/>
        </w:rPr>
        <w:t>（七）系统支持：托管机构须有相应的</w:t>
      </w:r>
      <w:r>
        <w:rPr>
          <w:rFonts w:ascii="仿宋" w:hAnsi="仿宋" w:eastAsia="仿宋"/>
        </w:rPr>
        <w:t>IT</w:t>
      </w:r>
      <w:r>
        <w:rPr>
          <w:rFonts w:hint="eastAsia" w:ascii="仿宋" w:hAnsi="仿宋" w:eastAsia="仿宋"/>
        </w:rPr>
        <w:t>系统满足管理人的业务需求。托管机构需有安全高效的清算、交割系统。</w:t>
      </w:r>
    </w:p>
    <w:p>
      <w:pPr>
        <w:pStyle w:val="19"/>
        <w:numPr>
          <w:ilvl w:val="0"/>
          <w:numId w:val="0"/>
        </w:numPr>
        <w:spacing w:line="580" w:lineRule="exact"/>
        <w:ind w:firstLine="420" w:firstLineChars="150"/>
        <w:rPr>
          <w:rFonts w:ascii="仿宋" w:hAnsi="仿宋" w:eastAsia="仿宋"/>
        </w:rPr>
      </w:pPr>
      <w:r>
        <w:rPr>
          <w:rFonts w:hint="eastAsia" w:ascii="仿宋" w:hAnsi="仿宋" w:eastAsia="仿宋"/>
        </w:rPr>
        <w:t>（八）团队配备：托管机构需设有专门基金托管部门，并配备专业的托管团队，取得基金从业资格的专职人员达到法定人数。</w:t>
      </w:r>
    </w:p>
    <w:p>
      <w:pPr>
        <w:pStyle w:val="19"/>
        <w:numPr>
          <w:ilvl w:val="0"/>
          <w:numId w:val="0"/>
        </w:numPr>
        <w:spacing w:line="580" w:lineRule="exact"/>
        <w:ind w:firstLine="420" w:firstLineChars="150"/>
        <w:rPr>
          <w:rFonts w:ascii="仿宋" w:hAnsi="仿宋" w:eastAsia="仿宋"/>
        </w:rPr>
      </w:pPr>
      <w:r>
        <w:rPr>
          <w:rFonts w:hint="eastAsia" w:ascii="仿宋" w:hAnsi="仿宋" w:eastAsia="仿宋"/>
        </w:rPr>
        <w:t>（九）资金安全：托管机构需有安全保管基金财产的条件。</w:t>
      </w:r>
    </w:p>
    <w:p>
      <w:pPr>
        <w:pStyle w:val="19"/>
        <w:numPr>
          <w:ilvl w:val="0"/>
          <w:numId w:val="0"/>
        </w:numPr>
        <w:spacing w:line="580" w:lineRule="exact"/>
        <w:ind w:firstLine="420" w:firstLineChars="150"/>
        <w:rPr>
          <w:rFonts w:ascii="仿宋" w:hAnsi="仿宋" w:eastAsia="仿宋"/>
        </w:rPr>
      </w:pPr>
      <w:r>
        <w:rPr>
          <w:rFonts w:hint="eastAsia" w:ascii="仿宋" w:hAnsi="仿宋" w:eastAsia="仿宋"/>
        </w:rPr>
        <w:t>（十）场地安全：托管机构有符合要求的营业场所、安全防范设施和与基金托管业务有关的其他设施。</w:t>
      </w:r>
    </w:p>
    <w:p>
      <w:pPr>
        <w:pStyle w:val="19"/>
        <w:spacing w:line="580" w:lineRule="exact"/>
        <w:ind w:left="0" w:firstLine="567"/>
        <w:rPr>
          <w:rFonts w:ascii="仿宋" w:hAnsi="仿宋" w:eastAsia="仿宋"/>
        </w:rPr>
      </w:pPr>
      <w:r>
        <w:rPr>
          <w:rFonts w:hint="eastAsia" w:ascii="仿宋" w:hAnsi="仿宋" w:eastAsia="仿宋"/>
        </w:rPr>
        <w:t>公司托管机构的评定流程如下：</w:t>
      </w:r>
    </w:p>
    <w:p>
      <w:pPr>
        <w:pStyle w:val="19"/>
        <w:numPr>
          <w:ilvl w:val="0"/>
          <w:numId w:val="0"/>
        </w:numPr>
        <w:spacing w:line="580" w:lineRule="exact"/>
        <w:ind w:firstLine="420" w:firstLineChars="150"/>
        <w:rPr>
          <w:rFonts w:ascii="仿宋" w:hAnsi="仿宋" w:eastAsia="仿宋"/>
        </w:rPr>
      </w:pPr>
      <w:r>
        <w:rPr>
          <w:rFonts w:hint="eastAsia" w:ascii="仿宋" w:hAnsi="仿宋" w:eastAsia="仿宋"/>
        </w:rPr>
        <w:t>（一）</w:t>
      </w:r>
      <w:r>
        <w:rPr>
          <w:rFonts w:ascii="仿宋" w:hAnsi="仿宋" w:eastAsia="仿宋"/>
        </w:rPr>
        <w:t xml:space="preserve"> </w:t>
      </w:r>
      <w:r>
        <w:rPr>
          <w:rFonts w:hint="eastAsia" w:ascii="仿宋" w:hAnsi="仿宋" w:eastAsia="仿宋"/>
        </w:rPr>
        <w:t>筛选：必须在具有托管资质的商业银行或其他金融机构中进行选择，前期需对托管机构进行全面了解和沟通，综合比较确定托管机构。</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（二）反馈：向拟合作的托管机构提供托管机构评估问题清单，由托管机构按要求列明资质和相关条件，在</w:t>
      </w:r>
      <w:r>
        <w:rPr>
          <w:rFonts w:ascii="仿宋" w:hAnsi="仿宋" w:eastAsia="仿宋"/>
        </w:rPr>
        <w:t>2</w:t>
      </w:r>
      <w:r>
        <w:rPr>
          <w:rFonts w:hint="eastAsia" w:ascii="仿宋" w:hAnsi="仿宋" w:eastAsia="仿宋"/>
        </w:rPr>
        <w:t>个工作日内反馈给公司。</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（三）评估：根据托管机构提供的问题清单反馈中提及的费率等关键因素以及前期沟通了解掌握的信息进行综合评估。</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（四）选定：根据综合评估情况，选定托管机构。</w:t>
      </w:r>
    </w:p>
    <w:p>
      <w:pPr>
        <w:pStyle w:val="19"/>
        <w:spacing w:line="580" w:lineRule="exact"/>
        <w:ind w:left="0" w:firstLine="709"/>
        <w:rPr>
          <w:rFonts w:ascii="仿宋" w:hAnsi="仿宋" w:eastAsia="仿宋"/>
        </w:rPr>
      </w:pPr>
      <w:r>
        <w:rPr>
          <w:rFonts w:ascii="仿宋" w:hAnsi="仿宋" w:eastAsia="仿宋"/>
        </w:rPr>
        <w:t xml:space="preserve"> </w:t>
      </w:r>
      <w:r>
        <w:rPr>
          <w:rFonts w:hint="eastAsia" w:ascii="仿宋" w:hAnsi="仿宋" w:eastAsia="仿宋"/>
        </w:rPr>
        <w:t>托管机构选定后，相关部门（运营管理与合规部门）应负责托管协议的起草、审定工作，协议中应明确托管机构的如下义务：</w:t>
      </w:r>
    </w:p>
    <w:p>
      <w:pPr>
        <w:spacing w:line="580" w:lineRule="exact"/>
        <w:ind w:firstLine="566" w:firstLineChars="202"/>
        <w:rPr>
          <w:rFonts w:ascii="仿宋" w:hAnsi="仿宋" w:eastAsia="仿宋"/>
          <w:bCs/>
          <w:sz w:val="28"/>
          <w:szCs w:val="28"/>
        </w:rPr>
      </w:pPr>
      <w:r>
        <w:rPr>
          <w:rFonts w:hint="eastAsia" w:ascii="仿宋" w:hAnsi="仿宋" w:eastAsia="仿宋"/>
          <w:bCs/>
          <w:sz w:val="28"/>
          <w:szCs w:val="28"/>
        </w:rPr>
        <w:t>（一）托管机构应当按照基金合同的约定，向投资者提供基金信息。托管机构的固有财产应当独立于基金财产，托管机构因基金财产的管理、运用或者其他情形而取得的财产和收益，归入基金财产；</w:t>
      </w:r>
    </w:p>
    <w:p>
      <w:pPr>
        <w:spacing w:line="580" w:lineRule="exact"/>
        <w:ind w:firstLine="566" w:firstLineChars="202"/>
        <w:rPr>
          <w:rFonts w:ascii="仿宋" w:hAnsi="仿宋" w:eastAsia="仿宋"/>
          <w:bCs/>
          <w:sz w:val="28"/>
          <w:szCs w:val="28"/>
        </w:rPr>
      </w:pPr>
      <w:r>
        <w:rPr>
          <w:rFonts w:hint="eastAsia" w:ascii="仿宋" w:hAnsi="仿宋" w:eastAsia="仿宋"/>
          <w:bCs/>
          <w:sz w:val="28"/>
          <w:szCs w:val="28"/>
        </w:rPr>
        <w:t>（二）公平地对待其管理的不同基金财产；</w:t>
      </w:r>
    </w:p>
    <w:p>
      <w:pPr>
        <w:spacing w:line="580" w:lineRule="exact"/>
        <w:ind w:firstLine="708" w:firstLineChars="253"/>
        <w:rPr>
          <w:rFonts w:ascii="仿宋" w:hAnsi="仿宋" w:eastAsia="仿宋"/>
          <w:bCs/>
          <w:sz w:val="28"/>
          <w:szCs w:val="28"/>
        </w:rPr>
      </w:pPr>
      <w:r>
        <w:rPr>
          <w:rFonts w:ascii="仿宋" w:hAnsi="仿宋" w:eastAsia="仿宋"/>
          <w:bCs/>
          <w:sz w:val="28"/>
          <w:szCs w:val="28"/>
          <w:lang w:val="zh-TW"/>
        </w:rPr>
        <w:t>(</w:t>
      </w:r>
      <w:r>
        <w:rPr>
          <w:rFonts w:hint="eastAsia" w:ascii="仿宋" w:hAnsi="仿宋" w:eastAsia="仿宋"/>
          <w:bCs/>
          <w:sz w:val="28"/>
          <w:szCs w:val="28"/>
          <w:lang w:val="zh-TW"/>
        </w:rPr>
        <w:t>三）安全保管基金财产；</w:t>
      </w:r>
    </w:p>
    <w:p>
      <w:pPr>
        <w:spacing w:line="580" w:lineRule="exact"/>
        <w:ind w:firstLine="708" w:firstLineChars="253"/>
        <w:rPr>
          <w:rFonts w:ascii="仿宋" w:hAnsi="仿宋" w:eastAsia="仿宋"/>
          <w:bCs/>
          <w:sz w:val="28"/>
          <w:szCs w:val="28"/>
          <w:lang w:val="zh-TW"/>
        </w:rPr>
      </w:pPr>
      <w:r>
        <w:rPr>
          <w:rFonts w:ascii="仿宋" w:hAnsi="仿宋" w:eastAsia="仿宋"/>
          <w:bCs/>
          <w:sz w:val="28"/>
          <w:szCs w:val="28"/>
          <w:lang w:val="zh-TW"/>
        </w:rPr>
        <w:t>(</w:t>
      </w:r>
      <w:r>
        <w:rPr>
          <w:rFonts w:hint="eastAsia" w:ascii="仿宋" w:hAnsi="仿宋" w:eastAsia="仿宋"/>
          <w:bCs/>
          <w:sz w:val="28"/>
          <w:szCs w:val="28"/>
          <w:lang w:val="zh-TW"/>
        </w:rPr>
        <w:t>四）按照规定开设基金财产的资金账户和证券账户；</w:t>
      </w:r>
    </w:p>
    <w:p>
      <w:pPr>
        <w:spacing w:line="580" w:lineRule="exact"/>
        <w:ind w:firstLine="708" w:firstLineChars="253"/>
        <w:rPr>
          <w:rFonts w:ascii="仿宋" w:hAnsi="仿宋" w:eastAsia="仿宋"/>
          <w:bCs/>
          <w:sz w:val="28"/>
          <w:szCs w:val="28"/>
          <w:lang w:val="zh-TW"/>
        </w:rPr>
      </w:pPr>
      <w:r>
        <w:rPr>
          <w:rFonts w:ascii="仿宋" w:hAnsi="仿宋" w:eastAsia="仿宋"/>
          <w:bCs/>
          <w:sz w:val="28"/>
          <w:szCs w:val="28"/>
          <w:lang w:val="zh-TW"/>
        </w:rPr>
        <w:t>(</w:t>
      </w:r>
      <w:r>
        <w:rPr>
          <w:rFonts w:hint="eastAsia" w:ascii="仿宋" w:hAnsi="仿宋" w:eastAsia="仿宋"/>
          <w:bCs/>
          <w:sz w:val="28"/>
          <w:szCs w:val="28"/>
          <w:lang w:val="zh-TW"/>
        </w:rPr>
        <w:t>五）对所托管的不同基金财产分别设置账户，确保基金财产的完整与独立；</w:t>
      </w:r>
    </w:p>
    <w:p>
      <w:pPr>
        <w:spacing w:line="580" w:lineRule="exact"/>
        <w:ind w:firstLine="708" w:firstLineChars="253"/>
        <w:rPr>
          <w:rFonts w:ascii="仿宋" w:hAnsi="仿宋" w:eastAsia="仿宋"/>
          <w:bCs/>
          <w:sz w:val="28"/>
          <w:szCs w:val="28"/>
          <w:lang w:val="zh-TW"/>
        </w:rPr>
      </w:pPr>
      <w:r>
        <w:rPr>
          <w:rFonts w:ascii="仿宋" w:hAnsi="仿宋" w:eastAsia="仿宋"/>
          <w:bCs/>
          <w:sz w:val="28"/>
          <w:szCs w:val="28"/>
          <w:lang w:val="zh-TW"/>
        </w:rPr>
        <w:t>(</w:t>
      </w:r>
      <w:r>
        <w:rPr>
          <w:rFonts w:hint="eastAsia" w:ascii="仿宋" w:hAnsi="仿宋" w:eastAsia="仿宋"/>
          <w:bCs/>
          <w:sz w:val="28"/>
          <w:szCs w:val="28"/>
          <w:lang w:val="zh-TW"/>
        </w:rPr>
        <w:t>六）保存基金托管业务活动的记录、账册、报表和其他相关资料；</w:t>
      </w:r>
    </w:p>
    <w:p>
      <w:pPr>
        <w:spacing w:line="580" w:lineRule="exact"/>
        <w:ind w:firstLine="566" w:firstLineChars="202"/>
        <w:rPr>
          <w:rFonts w:ascii="仿宋" w:hAnsi="仿宋" w:eastAsia="仿宋"/>
          <w:bCs/>
          <w:sz w:val="28"/>
          <w:szCs w:val="28"/>
          <w:lang w:val="zh-TW"/>
        </w:rPr>
      </w:pPr>
      <w:r>
        <w:rPr>
          <w:rFonts w:ascii="仿宋" w:hAnsi="仿宋" w:eastAsia="仿宋"/>
          <w:bCs/>
          <w:sz w:val="28"/>
          <w:szCs w:val="28"/>
          <w:lang w:val="zh-TW"/>
        </w:rPr>
        <w:t>(</w:t>
      </w:r>
      <w:r>
        <w:rPr>
          <w:rFonts w:hint="eastAsia" w:ascii="仿宋" w:hAnsi="仿宋" w:eastAsia="仿宋"/>
          <w:bCs/>
          <w:sz w:val="28"/>
          <w:szCs w:val="28"/>
          <w:lang w:val="zh-TW"/>
        </w:rPr>
        <w:t>七）按照基金合同的约定，根据基金管理人的投资指令，及时办理清算、交割事宜；</w:t>
      </w:r>
    </w:p>
    <w:p>
      <w:pPr>
        <w:spacing w:line="580" w:lineRule="exact"/>
        <w:ind w:firstLine="566" w:firstLineChars="202"/>
        <w:rPr>
          <w:rFonts w:ascii="仿宋" w:hAnsi="仿宋" w:eastAsia="仿宋"/>
          <w:bCs/>
          <w:sz w:val="28"/>
          <w:szCs w:val="28"/>
          <w:lang w:val="zh-TW"/>
        </w:rPr>
      </w:pPr>
      <w:r>
        <w:rPr>
          <w:rFonts w:ascii="仿宋" w:hAnsi="仿宋" w:eastAsia="仿宋"/>
          <w:bCs/>
          <w:sz w:val="28"/>
          <w:szCs w:val="28"/>
          <w:lang w:val="zh-TW"/>
        </w:rPr>
        <w:t>(</w:t>
      </w:r>
      <w:r>
        <w:rPr>
          <w:rFonts w:hint="eastAsia" w:ascii="仿宋" w:hAnsi="仿宋" w:eastAsia="仿宋"/>
          <w:bCs/>
          <w:sz w:val="28"/>
          <w:szCs w:val="28"/>
          <w:lang w:val="zh-TW"/>
        </w:rPr>
        <w:t>八）办理与基金托管业务活动有关的信息披露事项；</w:t>
      </w:r>
    </w:p>
    <w:p>
      <w:pPr>
        <w:spacing w:line="580" w:lineRule="exact"/>
        <w:ind w:firstLine="566" w:firstLineChars="202"/>
        <w:rPr>
          <w:rFonts w:ascii="仿宋" w:hAnsi="仿宋" w:eastAsia="仿宋"/>
          <w:bCs/>
          <w:sz w:val="28"/>
          <w:szCs w:val="28"/>
          <w:lang w:val="zh-TW"/>
        </w:rPr>
      </w:pPr>
      <w:r>
        <w:rPr>
          <w:rFonts w:ascii="仿宋" w:hAnsi="仿宋" w:eastAsia="仿宋"/>
          <w:bCs/>
          <w:sz w:val="28"/>
          <w:szCs w:val="28"/>
          <w:lang w:val="zh-TW"/>
        </w:rPr>
        <w:t>(</w:t>
      </w:r>
      <w:r>
        <w:rPr>
          <w:rFonts w:hint="eastAsia" w:ascii="仿宋" w:hAnsi="仿宋" w:eastAsia="仿宋"/>
          <w:bCs/>
          <w:sz w:val="28"/>
          <w:szCs w:val="28"/>
          <w:lang w:val="zh-TW"/>
        </w:rPr>
        <w:t>九）对基金财务会计报告、中期和年度基金报告出具意见；</w:t>
      </w:r>
    </w:p>
    <w:p>
      <w:pPr>
        <w:spacing w:line="580" w:lineRule="exact"/>
        <w:ind w:firstLine="566" w:firstLineChars="202"/>
        <w:rPr>
          <w:rFonts w:ascii="仿宋" w:hAnsi="仿宋" w:eastAsia="仿宋"/>
          <w:bCs/>
          <w:sz w:val="28"/>
          <w:szCs w:val="28"/>
          <w:lang w:val="zh-TW"/>
        </w:rPr>
      </w:pPr>
      <w:r>
        <w:rPr>
          <w:rFonts w:ascii="仿宋" w:hAnsi="仿宋" w:eastAsia="仿宋"/>
          <w:bCs/>
          <w:sz w:val="28"/>
          <w:szCs w:val="28"/>
          <w:lang w:val="zh-TW"/>
        </w:rPr>
        <w:t>(</w:t>
      </w:r>
      <w:r>
        <w:rPr>
          <w:rFonts w:hint="eastAsia" w:ascii="仿宋" w:hAnsi="仿宋" w:eastAsia="仿宋"/>
          <w:bCs/>
          <w:sz w:val="28"/>
          <w:szCs w:val="28"/>
          <w:lang w:val="zh-TW"/>
        </w:rPr>
        <w:t>十）复核、审查基金管理人计算的基金资产净值和基金份额申购、赎回价格；</w:t>
      </w:r>
    </w:p>
    <w:p>
      <w:pPr>
        <w:spacing w:line="580" w:lineRule="exact"/>
        <w:ind w:firstLine="566" w:firstLineChars="202"/>
        <w:rPr>
          <w:rFonts w:ascii="仿宋" w:hAnsi="仿宋" w:eastAsia="仿宋"/>
          <w:bCs/>
          <w:sz w:val="28"/>
          <w:szCs w:val="28"/>
          <w:lang w:val="zh-TW"/>
        </w:rPr>
      </w:pPr>
      <w:r>
        <w:rPr>
          <w:rFonts w:ascii="仿宋" w:hAnsi="仿宋" w:eastAsia="仿宋"/>
          <w:bCs/>
          <w:sz w:val="28"/>
          <w:szCs w:val="28"/>
          <w:lang w:val="zh-TW"/>
        </w:rPr>
        <w:t>(</w:t>
      </w:r>
      <w:r>
        <w:rPr>
          <w:rFonts w:hint="eastAsia" w:ascii="仿宋" w:hAnsi="仿宋" w:eastAsia="仿宋"/>
          <w:bCs/>
          <w:sz w:val="28"/>
          <w:szCs w:val="28"/>
          <w:lang w:val="zh-TW"/>
        </w:rPr>
        <w:t>十一）按照规定监督基金管理人的投资运作；</w:t>
      </w:r>
    </w:p>
    <w:p>
      <w:pPr>
        <w:spacing w:line="580" w:lineRule="exact"/>
        <w:ind w:firstLine="566" w:firstLineChars="202"/>
        <w:rPr>
          <w:rFonts w:ascii="仿宋" w:hAnsi="仿宋" w:eastAsia="仿宋"/>
          <w:bCs/>
          <w:sz w:val="28"/>
          <w:szCs w:val="28"/>
          <w:lang w:val="zh-TW"/>
        </w:rPr>
      </w:pPr>
      <w:r>
        <w:rPr>
          <w:rFonts w:ascii="仿宋" w:hAnsi="仿宋" w:eastAsia="仿宋"/>
          <w:bCs/>
          <w:sz w:val="28"/>
          <w:szCs w:val="28"/>
          <w:lang w:val="zh-TW"/>
        </w:rPr>
        <w:t>(</w:t>
      </w:r>
      <w:r>
        <w:rPr>
          <w:rFonts w:hint="eastAsia" w:ascii="仿宋" w:hAnsi="仿宋" w:eastAsia="仿宋"/>
          <w:bCs/>
          <w:sz w:val="28"/>
          <w:szCs w:val="28"/>
          <w:lang w:val="zh-TW"/>
        </w:rPr>
        <w:t>十二）国务院证券监督管理机构规定的其他职责。</w:t>
      </w:r>
    </w:p>
    <w:p>
      <w:pPr>
        <w:pStyle w:val="19"/>
        <w:numPr>
          <w:ilvl w:val="0"/>
          <w:numId w:val="0"/>
        </w:numPr>
        <w:spacing w:line="580" w:lineRule="exact"/>
        <w:ind w:left="283" w:leftChars="118" w:firstLine="140" w:firstLineChars="50"/>
        <w:rPr>
          <w:rFonts w:ascii="仿宋" w:hAnsi="仿宋" w:eastAsia="仿宋"/>
          <w:lang w:val="zh-TW"/>
        </w:rPr>
      </w:pPr>
      <w:r>
        <w:rPr>
          <w:rFonts w:hint="eastAsia" w:ascii="仿宋" w:hAnsi="仿宋" w:eastAsia="仿宋"/>
          <w:bCs w:val="0"/>
          <w:lang w:val="zh-TW"/>
        </w:rPr>
        <w:t>（十三）基金托管机构不得从事内幕交易、操纵交易价格及其他不正当的交易活动。</w:t>
      </w:r>
    </w:p>
    <w:p>
      <w:pPr>
        <w:pStyle w:val="19"/>
        <w:spacing w:line="580" w:lineRule="exact"/>
        <w:ind w:left="0" w:firstLine="567"/>
        <w:rPr>
          <w:rFonts w:ascii="仿宋" w:hAnsi="仿宋" w:eastAsia="仿宋"/>
        </w:rPr>
      </w:pPr>
      <w:r>
        <w:rPr>
          <w:rFonts w:ascii="仿宋" w:hAnsi="仿宋" w:eastAsia="仿宋"/>
        </w:rPr>
        <w:t xml:space="preserve"> </w:t>
      </w:r>
      <w:r>
        <w:rPr>
          <w:rFonts w:hint="eastAsia" w:ascii="仿宋" w:hAnsi="仿宋" w:eastAsia="仿宋"/>
        </w:rPr>
        <w:t>托管协议正式签署后，公司</w:t>
      </w:r>
      <w:r>
        <w:rPr>
          <w:rFonts w:hint="eastAsia" w:ascii="仿宋" w:hAnsi="仿宋" w:eastAsia="仿宋"/>
          <w:lang w:eastAsia="zh-CN"/>
        </w:rPr>
        <w:t>市场部</w:t>
      </w:r>
      <w:r>
        <w:rPr>
          <w:rFonts w:hint="eastAsia" w:ascii="仿宋" w:hAnsi="仿宋" w:eastAsia="仿宋"/>
        </w:rPr>
        <w:t>应负责后续对接工作，包括不限于：根据托管机构提供的资料清单，进行托管账户的开立或委托托管机构进行托管账户的开立；负责开户资料及印鉴卡片等重要凭证的保管；督促托管机构按照托管协议要求履行托管职责。</w:t>
      </w:r>
      <w:bookmarkStart w:id="1" w:name="3"/>
      <w:bookmarkEnd w:id="1"/>
    </w:p>
    <w:p>
      <w:pPr>
        <w:pStyle w:val="19"/>
        <w:numPr>
          <w:ilvl w:val="0"/>
          <w:numId w:val="0"/>
        </w:numPr>
        <w:spacing w:line="580" w:lineRule="exact"/>
        <w:jc w:val="center"/>
        <w:rPr>
          <w:rFonts w:ascii="仿宋" w:hAnsi="仿宋" w:eastAsia="仿宋"/>
        </w:rPr>
      </w:pPr>
      <w:r>
        <w:rPr>
          <w:rFonts w:hint="eastAsia" w:ascii="仿宋" w:hAnsi="仿宋" w:eastAsia="仿宋"/>
          <w:b/>
          <w:w w:val="95"/>
        </w:rPr>
        <w:t>第三章</w:t>
      </w:r>
      <w:r>
        <w:rPr>
          <w:rFonts w:ascii="仿宋" w:hAnsi="仿宋" w:eastAsia="仿宋"/>
          <w:b/>
          <w:w w:val="95"/>
        </w:rPr>
        <w:t xml:space="preserve">   </w:t>
      </w:r>
      <w:r>
        <w:rPr>
          <w:rFonts w:hint="eastAsia" w:ascii="仿宋" w:hAnsi="仿宋" w:eastAsia="仿宋"/>
          <w:b/>
          <w:w w:val="95"/>
        </w:rPr>
        <w:t>外包机构的遴选与管理</w:t>
      </w:r>
    </w:p>
    <w:p>
      <w:pPr>
        <w:pStyle w:val="19"/>
        <w:spacing w:line="580" w:lineRule="exact"/>
        <w:ind w:left="0" w:firstLine="567"/>
        <w:rPr>
          <w:rFonts w:ascii="仿宋" w:hAnsi="仿宋" w:eastAsia="仿宋"/>
        </w:rPr>
      </w:pPr>
      <w:r>
        <w:rPr>
          <w:rFonts w:ascii="仿宋" w:hAnsi="仿宋" w:eastAsia="仿宋"/>
        </w:rPr>
        <w:t xml:space="preserve"> </w:t>
      </w:r>
      <w:r>
        <w:rPr>
          <w:rFonts w:hint="eastAsia" w:ascii="仿宋" w:hAnsi="仿宋" w:eastAsia="仿宋"/>
        </w:rPr>
        <w:t>公司开展业务外包应根据审慎经营原则制定业务外包实施规划，外包活动范围应与公司经营水平相适宜。</w:t>
      </w:r>
    </w:p>
    <w:p>
      <w:pPr>
        <w:pStyle w:val="19"/>
        <w:spacing w:line="580" w:lineRule="exact"/>
        <w:ind w:left="0" w:firstLine="567"/>
        <w:rPr>
          <w:rFonts w:ascii="仿宋" w:hAnsi="仿宋" w:eastAsia="仿宋"/>
        </w:rPr>
      </w:pPr>
      <w:r>
        <w:rPr>
          <w:rFonts w:hint="eastAsia" w:ascii="仿宋" w:hAnsi="仿宋" w:eastAsia="仿宋"/>
        </w:rPr>
        <w:t>公司可委托外包机构办理基金份额（权益）登记。办理基金份额登记业务的机构应保证登记数据的真实、准确和完整，可开立注册登记账户，用于基金投资人认（申）购资金、赎回资金和分红资金的归集、存放与交收，并设置有效机制，切实保障投资人资金安全。</w:t>
      </w:r>
    </w:p>
    <w:p>
      <w:pPr>
        <w:pStyle w:val="19"/>
        <w:spacing w:line="580" w:lineRule="exact"/>
        <w:ind w:left="0" w:firstLine="567"/>
        <w:rPr>
          <w:rFonts w:ascii="仿宋" w:hAnsi="仿宋" w:eastAsia="仿宋"/>
        </w:rPr>
      </w:pPr>
      <w:r>
        <w:rPr>
          <w:rFonts w:hint="eastAsia" w:ascii="仿宋" w:hAnsi="仿宋" w:eastAsia="仿宋"/>
        </w:rPr>
        <w:t>公司可委托外包机构办理估值核算，办理估值核算业务的机构应按照合同或协议的要求，保证估值核算的准确性和及时性。</w:t>
      </w:r>
      <w:bookmarkStart w:id="2" w:name="4"/>
      <w:bookmarkEnd w:id="2"/>
    </w:p>
    <w:p>
      <w:pPr>
        <w:pStyle w:val="19"/>
        <w:spacing w:line="580" w:lineRule="exact"/>
        <w:ind w:left="0" w:firstLine="567"/>
        <w:rPr>
          <w:rFonts w:ascii="仿宋" w:hAnsi="仿宋" w:eastAsia="仿宋"/>
        </w:rPr>
      </w:pPr>
      <w:r>
        <w:rPr>
          <w:rFonts w:hint="eastAsia" w:ascii="仿宋" w:hAnsi="仿宋" w:eastAsia="仿宋"/>
        </w:rPr>
        <w:t>公司</w:t>
      </w:r>
      <w:r>
        <w:rPr>
          <w:rFonts w:hint="eastAsia" w:ascii="仿宋" w:hAnsi="仿宋" w:eastAsia="仿宋"/>
          <w:lang w:eastAsia="zh-CN"/>
        </w:rPr>
        <w:t>市场部</w:t>
      </w:r>
      <w:r>
        <w:rPr>
          <w:rFonts w:hint="eastAsia" w:ascii="仿宋" w:hAnsi="仿宋" w:eastAsia="仿宋"/>
        </w:rPr>
        <w:t>负责外包遴选工作，遴选工作应主要核查以下内容：</w:t>
      </w:r>
      <w:r>
        <w:rPr>
          <w:rFonts w:ascii="仿宋" w:hAnsi="仿宋" w:eastAsia="仿宋"/>
        </w:rPr>
        <w:t xml:space="preserve"> </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bCs w:val="0"/>
        </w:rPr>
        <w:t>（一</w:t>
      </w:r>
      <w:r>
        <w:rPr>
          <w:rFonts w:hint="eastAsia" w:ascii="仿宋" w:hAnsi="仿宋" w:eastAsia="仿宋"/>
        </w:rPr>
        <w:t>）品牌影响力：外包机构应品牌信誉良好，无不良记录。</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（二）</w:t>
      </w:r>
      <w:r>
        <w:rPr>
          <w:rFonts w:ascii="仿宋" w:hAnsi="仿宋" w:eastAsia="仿宋"/>
        </w:rPr>
        <w:t xml:space="preserve"> </w:t>
      </w:r>
      <w:r>
        <w:rPr>
          <w:rFonts w:hint="eastAsia" w:ascii="仿宋" w:hAnsi="仿宋" w:eastAsia="仿宋"/>
        </w:rPr>
        <w:t>外包资质：外包机构应为按照《基金业务外包服务指引（试行）》的要求到中国证券投资基金业协会备案，并加入基金业协会成为会员的机构</w:t>
      </w:r>
      <w:r>
        <w:rPr>
          <w:rFonts w:ascii="仿宋" w:hAnsi="仿宋" w:eastAsia="仿宋"/>
        </w:rPr>
        <w:t xml:space="preserve"> </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三）运营团队：外包机构应拥有稳定、专业的运营团队。外包机构及其从业人员，应当遵守法律法规及合同或协议的规定，诚实信用、勤勉尽责、恪尽职守，防止利益冲突，不得从事侵占基金资产和客户资产、利用基金未公开信息进行交易等违法违规活动。外包机构在开展外包业务的同时，提供托管服务的，应设立专门的团队，外包业务与基金托管业务团队之间应建立必要的业务隔离，有效防范潜在的利益冲突。</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（四）</w:t>
      </w:r>
      <w:r>
        <w:rPr>
          <w:rFonts w:ascii="仿宋" w:hAnsi="仿宋" w:eastAsia="仿宋"/>
        </w:rPr>
        <w:t>IT</w:t>
      </w:r>
      <w:r>
        <w:rPr>
          <w:rFonts w:hint="eastAsia" w:ascii="仿宋" w:hAnsi="仿宋" w:eastAsia="仿宋"/>
        </w:rPr>
        <w:t>系统：外包机构应拥有稳定、专业的系统开发和运维团队，系统配置完善，并且有持续优化的意愿，做好风险隔离，并定期向管理人提供数据。</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五）风控机制：外包机构应风控机制完备，并与托管业务进行办公场所与团队隔离。外包机构应具备开展外包业务的能力和风险控制能力，审慎评估外包服务的潜在风险与利益冲突，建立严格的防火墙制度与业务隔离制度，有效执行信息隔离等内部控制制度，切实防范利益输送。</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（六）资源源投入：费率合理，并有意愿加大资源投入力度开展长期业务合作。</w:t>
      </w:r>
    </w:p>
    <w:p>
      <w:pPr>
        <w:pStyle w:val="19"/>
        <w:spacing w:line="580" w:lineRule="exact"/>
        <w:ind w:left="0" w:firstLine="567"/>
        <w:rPr>
          <w:rFonts w:ascii="仿宋" w:hAnsi="仿宋" w:eastAsia="仿宋"/>
        </w:rPr>
      </w:pPr>
      <w:r>
        <w:rPr>
          <w:rFonts w:hint="eastAsia" w:ascii="仿宋" w:hAnsi="仿宋" w:eastAsia="仿宋"/>
        </w:rPr>
        <w:t>公司对外包的评定流程如下：</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一）尽职调查：公司在委托外包机构开展外包活动前，应根据备选外包机构的范围，对其人员配备、防火墙制度、业务隔离措施、利益输送防范措施、软硬件设施、专业能力、诚信状况、过往业绩、按时定期向基金业协会报送外包业务情况表和外包运营情况报告等情况进行全面、现场调查。</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（二）业务谈判：公司</w:t>
      </w:r>
      <w:r>
        <w:rPr>
          <w:rFonts w:hint="eastAsia" w:ascii="仿宋" w:hAnsi="仿宋" w:eastAsia="仿宋"/>
          <w:lang w:eastAsia="zh-CN"/>
        </w:rPr>
        <w:t>市场部</w:t>
      </w:r>
      <w:r>
        <w:rPr>
          <w:rFonts w:hint="eastAsia" w:ascii="仿宋" w:hAnsi="仿宋" w:eastAsia="仿宋"/>
        </w:rPr>
        <w:t>与运营外包机构成员洽谈详细业务操作流程、费率及协议等重要因素，并达成一致意向。</w:t>
      </w:r>
    </w:p>
    <w:p>
      <w:pPr>
        <w:pStyle w:val="19"/>
        <w:numPr>
          <w:ilvl w:val="0"/>
          <w:numId w:val="0"/>
        </w:numPr>
        <w:spacing w:line="580" w:lineRule="exact"/>
        <w:ind w:firstLine="560" w:firstLineChars="200"/>
        <w:rPr>
          <w:rFonts w:ascii="仿宋" w:hAnsi="仿宋" w:eastAsia="仿宋"/>
        </w:rPr>
      </w:pPr>
      <w:r>
        <w:rPr>
          <w:rFonts w:hint="eastAsia" w:ascii="仿宋" w:hAnsi="仿宋" w:eastAsia="仿宋"/>
        </w:rPr>
        <w:t>（三）选定：根据实际考察结果进行综合评估，确定运营外包机构，并经合规部门审定后签订书面外包服务合同及协议，明确双方权利义务及违约责任，协议条款至少应包括以下内容：</w:t>
      </w:r>
    </w:p>
    <w:p>
      <w:pPr>
        <w:pStyle w:val="19"/>
        <w:numPr>
          <w:ilvl w:val="0"/>
          <w:numId w:val="0"/>
        </w:numPr>
        <w:spacing w:line="580" w:lineRule="exact"/>
        <w:ind w:firstLine="840" w:firstLineChars="300"/>
        <w:rPr>
          <w:rFonts w:ascii="仿宋" w:hAnsi="仿宋" w:eastAsia="仿宋"/>
        </w:rPr>
      </w:pPr>
      <w:r>
        <w:rPr>
          <w:rFonts w:ascii="仿宋" w:hAnsi="仿宋" w:eastAsia="仿宋"/>
        </w:rPr>
        <w:t>1.</w:t>
      </w:r>
      <w:r>
        <w:rPr>
          <w:rFonts w:hint="eastAsia" w:ascii="仿宋" w:hAnsi="仿宋" w:eastAsia="仿宋"/>
        </w:rPr>
        <w:t>外包服务所涉及的基金资产和客户资产应独立于外包机构的自有财产。外包机构破产或者清算时，外包服务所涉及的基金资产和客户资产不属于其破产财产或清算财产。</w:t>
      </w:r>
    </w:p>
    <w:p>
      <w:pPr>
        <w:pStyle w:val="19"/>
        <w:numPr>
          <w:ilvl w:val="0"/>
          <w:numId w:val="0"/>
        </w:numPr>
        <w:spacing w:line="580" w:lineRule="exact"/>
        <w:ind w:firstLine="840" w:firstLineChars="300"/>
        <w:rPr>
          <w:rFonts w:ascii="仿宋" w:hAnsi="仿宋" w:eastAsia="仿宋"/>
        </w:rPr>
      </w:pPr>
      <w:r>
        <w:rPr>
          <w:rFonts w:ascii="仿宋" w:hAnsi="仿宋" w:eastAsia="仿宋"/>
        </w:rPr>
        <w:t>2.</w:t>
      </w:r>
      <w:r>
        <w:rPr>
          <w:rFonts w:hint="eastAsia" w:ascii="仿宋" w:hAnsi="仿宋" w:eastAsia="仿宋"/>
        </w:rPr>
        <w:t>外包机构应对提供外包业务所涉及的基金资产和客户资产实行严格的分账管理，保证提供外包业务的不同基金资产和客户资产之间、外包业务所涉基金资产和客户资产与外包机构其他业务之间的账户设置相互独立，确保基金资产和客户资产的安全、独立，任何单位或者个人不得以任何形式挪用基金资产和客户资产。</w:t>
      </w:r>
    </w:p>
    <w:p>
      <w:pPr>
        <w:pStyle w:val="19"/>
        <w:numPr>
          <w:ilvl w:val="0"/>
          <w:numId w:val="0"/>
        </w:numPr>
        <w:spacing w:line="580" w:lineRule="exact"/>
        <w:ind w:firstLine="840" w:firstLineChars="300"/>
        <w:rPr>
          <w:rFonts w:ascii="仿宋" w:hAnsi="仿宋" w:eastAsia="仿宋"/>
        </w:rPr>
      </w:pPr>
      <w:r>
        <w:rPr>
          <w:rFonts w:ascii="仿宋" w:hAnsi="仿宋" w:eastAsia="仿宋"/>
        </w:rPr>
        <w:t>3.</w:t>
      </w:r>
      <w:r>
        <w:rPr>
          <w:rFonts w:hint="eastAsia" w:ascii="仿宋" w:hAnsi="仿宋" w:eastAsia="仿宋"/>
        </w:rPr>
        <w:t>外包机构在开展外包业务的同时，提供托管服务的，应设立专门</w:t>
      </w:r>
      <w:r>
        <w:rPr>
          <w:rFonts w:ascii="仿宋" w:hAnsi="仿宋" w:eastAsia="仿宋"/>
        </w:rPr>
        <w:t xml:space="preserve"> </w:t>
      </w:r>
      <w:r>
        <w:rPr>
          <w:rFonts w:hint="eastAsia" w:ascii="仿宋" w:hAnsi="仿宋" w:eastAsia="仿宋"/>
        </w:rPr>
        <w:t>的团队与业务系统，外包业务与基金托管业务团队之间建立必要的业务隔离，有效防范潜在的利益冲突。</w:t>
      </w:r>
    </w:p>
    <w:p>
      <w:pPr>
        <w:pStyle w:val="19"/>
        <w:numPr>
          <w:ilvl w:val="0"/>
          <w:numId w:val="0"/>
        </w:numPr>
        <w:spacing w:line="580" w:lineRule="exact"/>
        <w:ind w:firstLine="840" w:firstLineChars="300"/>
        <w:rPr>
          <w:rFonts w:ascii="仿宋" w:hAnsi="仿宋" w:eastAsia="仿宋"/>
        </w:rPr>
      </w:pPr>
      <w:r>
        <w:rPr>
          <w:rFonts w:ascii="仿宋" w:hAnsi="仿宋" w:eastAsia="仿宋"/>
        </w:rPr>
        <w:t>4.</w:t>
      </w:r>
      <w:r>
        <w:rPr>
          <w:rFonts w:hint="eastAsia" w:ascii="仿宋" w:hAnsi="仿宋" w:eastAsia="仿宋"/>
          <w:lang w:val="zh-TW" w:eastAsia="zh-TW"/>
        </w:rPr>
        <w:t>办理私募基金销售、销售支付业务的机构开立销售结算资金归集账户的，应由监督机构负责实施有效监督，在监督协议中明确保障投资者资金安全的连带责任条款。</w:t>
      </w:r>
    </w:p>
    <w:p>
      <w:pPr>
        <w:pStyle w:val="19"/>
        <w:numPr>
          <w:ilvl w:val="0"/>
          <w:numId w:val="0"/>
        </w:numPr>
        <w:spacing w:line="580" w:lineRule="exact"/>
        <w:ind w:firstLine="840" w:firstLineChars="300"/>
        <w:rPr>
          <w:rFonts w:ascii="仿宋" w:hAnsi="仿宋" w:eastAsia="仿宋"/>
        </w:rPr>
      </w:pPr>
      <w:r>
        <w:rPr>
          <w:rFonts w:ascii="仿宋" w:hAnsi="仿宋" w:eastAsia="仿宋"/>
        </w:rPr>
        <w:t>5.</w:t>
      </w:r>
      <w:r>
        <w:rPr>
          <w:rFonts w:hint="eastAsia" w:ascii="仿宋" w:hAnsi="仿宋" w:eastAsia="仿宋"/>
          <w:lang w:val="zh-TW" w:eastAsia="zh-TW"/>
        </w:rPr>
        <w:t>开展基金销售业务的各参与方应签署书面协议明确各方权责。协议内容应包括对基金持有人的持续服务责任、反洗钱义务履职及责任划分、基金销售信息交换及资金交收权利义务等。</w:t>
      </w:r>
    </w:p>
    <w:p>
      <w:pPr>
        <w:pStyle w:val="19"/>
        <w:spacing w:line="580" w:lineRule="exact"/>
        <w:ind w:left="0" w:firstLine="567"/>
        <w:rPr>
          <w:rFonts w:ascii="仿宋" w:hAnsi="仿宋" w:eastAsia="仿宋"/>
        </w:rPr>
      </w:pPr>
      <w:r>
        <w:rPr>
          <w:rFonts w:hint="eastAsia" w:ascii="仿宋" w:hAnsi="仿宋" w:eastAsia="仿宋"/>
          <w:lang w:val="zh-TW" w:eastAsia="zh-TW"/>
        </w:rPr>
        <w:t>外包机构及其从业人员，应当遵守法律法规及合同或协议的规定，诚实信用、勤勉尽责、恪尽职守，防止利益冲突，不得从事侵占基金资产和客户资产、利用基金未公开信息进行交易等违法违规活动。</w:t>
      </w:r>
    </w:p>
    <w:p>
      <w:pPr>
        <w:pStyle w:val="19"/>
        <w:spacing w:line="580" w:lineRule="exact"/>
        <w:ind w:left="0" w:firstLine="567"/>
        <w:rPr>
          <w:rFonts w:ascii="仿宋" w:hAnsi="仿宋" w:eastAsia="仿宋"/>
        </w:rPr>
      </w:pPr>
      <w:r>
        <w:rPr>
          <w:rFonts w:hint="eastAsia" w:ascii="仿宋" w:hAnsi="仿宋" w:eastAsia="仿宋"/>
        </w:rPr>
        <w:t>外包合同签订后，公司</w:t>
      </w:r>
      <w:r>
        <w:rPr>
          <w:rFonts w:hint="eastAsia" w:ascii="仿宋" w:hAnsi="仿宋" w:eastAsia="仿宋"/>
          <w:lang w:val="en-US" w:eastAsia="zh-CN"/>
        </w:rPr>
        <w:t>合规风控</w:t>
      </w:r>
      <w:r>
        <w:rPr>
          <w:rFonts w:hint="eastAsia" w:ascii="仿宋" w:hAnsi="仿宋" w:eastAsia="仿宋"/>
        </w:rPr>
        <w:t>部门负责根据项目运营实际情况，确认基金涉及的相关外包业务流程。</w:t>
      </w:r>
    </w:p>
    <w:p>
      <w:pPr>
        <w:pStyle w:val="19"/>
        <w:spacing w:line="580" w:lineRule="exact"/>
        <w:ind w:left="0" w:firstLine="567"/>
        <w:rPr>
          <w:rFonts w:ascii="仿宋" w:hAnsi="仿宋" w:eastAsia="仿宋"/>
        </w:rPr>
      </w:pPr>
      <w:r>
        <w:rPr>
          <w:rFonts w:hint="eastAsia" w:ascii="仿宋" w:hAnsi="仿宋" w:eastAsia="仿宋"/>
        </w:rPr>
        <w:t>在开展业务外包的各阶段，公司应关注外包机构是否存在与外包服务相冲突的业务，以及外包机构是否采取有效隔离措施，每年开展一次全面的外包业务风险评估。</w:t>
      </w:r>
    </w:p>
    <w:p>
      <w:pPr>
        <w:pStyle w:val="19"/>
        <w:numPr>
          <w:ilvl w:val="0"/>
          <w:numId w:val="0"/>
        </w:numPr>
        <w:spacing w:line="580" w:lineRule="exact"/>
        <w:jc w:val="center"/>
        <w:rPr>
          <w:rFonts w:ascii="仿宋" w:hAnsi="仿宋" w:eastAsia="仿宋"/>
        </w:rPr>
      </w:pPr>
      <w:r>
        <w:rPr>
          <w:rFonts w:hint="eastAsia" w:ascii="仿宋" w:hAnsi="仿宋" w:eastAsia="仿宋"/>
          <w:b/>
          <w:w w:val="95"/>
        </w:rPr>
        <w:t>第四章</w:t>
      </w:r>
      <w:r>
        <w:rPr>
          <w:rFonts w:ascii="仿宋" w:hAnsi="仿宋" w:eastAsia="仿宋"/>
          <w:b/>
          <w:w w:val="95"/>
        </w:rPr>
        <w:t xml:space="preserve">   </w:t>
      </w:r>
      <w:r>
        <w:rPr>
          <w:rFonts w:hint="eastAsia" w:ascii="仿宋" w:hAnsi="仿宋" w:eastAsia="仿宋"/>
          <w:b/>
          <w:w w:val="95"/>
        </w:rPr>
        <w:t>监督管理</w:t>
      </w:r>
    </w:p>
    <w:p>
      <w:pPr>
        <w:pStyle w:val="19"/>
        <w:spacing w:line="580" w:lineRule="exact"/>
        <w:ind w:left="0" w:firstLine="567"/>
        <w:rPr>
          <w:rFonts w:ascii="仿宋" w:hAnsi="仿宋" w:eastAsia="仿宋"/>
        </w:rPr>
      </w:pPr>
      <w:r>
        <w:rPr>
          <w:rFonts w:ascii="仿宋" w:hAnsi="仿宋" w:eastAsia="仿宋"/>
        </w:rPr>
        <w:t xml:space="preserve"> </w:t>
      </w:r>
      <w:r>
        <w:rPr>
          <w:rFonts w:hint="eastAsia" w:ascii="仿宋" w:hAnsi="仿宋" w:eastAsia="仿宋"/>
        </w:rPr>
        <w:t>公司风控合规部应定期与托管机构和运营外包机构召开例会，定期沟通，了解托管机构是否合规运作，同时托管机构应定期向管理人提供托管报告；了解运营外包机构的人员配备情况、业务操作的专业能力、业务隔离措施、软硬件设施等基本运作情况，保证满足业务发展的实际需求。</w:t>
      </w:r>
    </w:p>
    <w:p>
      <w:pPr>
        <w:pStyle w:val="19"/>
        <w:spacing w:line="580" w:lineRule="exact"/>
        <w:ind w:left="0" w:firstLine="567"/>
        <w:rPr>
          <w:rFonts w:ascii="仿宋" w:hAnsi="仿宋" w:eastAsia="仿宋"/>
        </w:rPr>
      </w:pPr>
      <w:r>
        <w:rPr>
          <w:rFonts w:ascii="仿宋" w:hAnsi="仿宋" w:eastAsia="仿宋"/>
        </w:rPr>
        <w:t xml:space="preserve">  </w:t>
      </w:r>
      <w:r>
        <w:rPr>
          <w:rFonts w:hint="eastAsia" w:ascii="仿宋" w:hAnsi="仿宋" w:eastAsia="仿宋"/>
        </w:rPr>
        <w:t>公司风控合规部应根据签订的托管协议及外包服务协议，不定期考察托管机构及运营外包机构是否严格按合同履行其义务和职责，如若发现未履行或履行不严格，可对其发出口头或书面的警告，情节严重的，可发送公函或律师函。</w:t>
      </w:r>
    </w:p>
    <w:p>
      <w:pPr>
        <w:pStyle w:val="19"/>
        <w:spacing w:line="580" w:lineRule="exact"/>
        <w:ind w:left="0" w:firstLine="567"/>
        <w:rPr>
          <w:rFonts w:ascii="仿宋" w:hAnsi="仿宋" w:eastAsia="仿宋"/>
        </w:rPr>
      </w:pPr>
      <w:r>
        <w:rPr>
          <w:rFonts w:ascii="仿宋" w:hAnsi="仿宋" w:eastAsia="仿宋"/>
        </w:rPr>
        <w:t xml:space="preserve"> </w:t>
      </w:r>
      <w:r>
        <w:rPr>
          <w:rFonts w:hint="eastAsia" w:ascii="仿宋" w:hAnsi="仿宋" w:eastAsia="仿宋"/>
        </w:rPr>
        <w:t>公司风控合规部</w:t>
      </w:r>
      <w:r>
        <w:rPr>
          <w:rFonts w:hint="eastAsia" w:ascii="仿宋" w:hAnsi="仿宋" w:eastAsia="仿宋"/>
          <w:spacing w:val="-6"/>
        </w:rPr>
        <w:t>应对外包业务报送情况进行监督。根据《基金业务外包服务指引》，</w:t>
      </w:r>
      <w:r>
        <w:rPr>
          <w:rFonts w:hint="eastAsia" w:ascii="仿宋" w:hAnsi="仿宋" w:eastAsia="仿宋"/>
        </w:rPr>
        <w:t>外包机构应在规定时间内内向基金业协会报送外包业务情况表和外包运营情况报告。</w:t>
      </w:r>
    </w:p>
    <w:p>
      <w:pPr>
        <w:pStyle w:val="19"/>
        <w:numPr>
          <w:ilvl w:val="0"/>
          <w:numId w:val="0"/>
        </w:numPr>
        <w:spacing w:line="580" w:lineRule="exact"/>
        <w:ind w:left="567"/>
        <w:jc w:val="center"/>
        <w:rPr>
          <w:rFonts w:ascii="仿宋" w:hAnsi="仿宋" w:eastAsia="仿宋"/>
          <w:w w:val="95"/>
        </w:rPr>
      </w:pPr>
    </w:p>
    <w:p>
      <w:pPr>
        <w:pStyle w:val="19"/>
        <w:numPr>
          <w:ilvl w:val="0"/>
          <w:numId w:val="0"/>
        </w:numPr>
        <w:spacing w:line="580" w:lineRule="exact"/>
        <w:ind w:left="567"/>
        <w:jc w:val="center"/>
        <w:rPr>
          <w:rFonts w:ascii="仿宋" w:hAnsi="仿宋" w:eastAsia="仿宋"/>
        </w:rPr>
      </w:pPr>
      <w:r>
        <w:rPr>
          <w:rFonts w:hint="eastAsia" w:ascii="仿宋" w:hAnsi="仿宋" w:eastAsia="仿宋"/>
          <w:w w:val="95"/>
        </w:rPr>
        <w:t>第五章</w:t>
      </w:r>
      <w:r>
        <w:rPr>
          <w:rFonts w:ascii="仿宋" w:hAnsi="仿宋" w:eastAsia="仿宋"/>
          <w:w w:val="95"/>
        </w:rPr>
        <w:t xml:space="preserve">   </w:t>
      </w:r>
      <w:r>
        <w:rPr>
          <w:rFonts w:hint="eastAsia" w:ascii="仿宋" w:hAnsi="仿宋" w:eastAsia="仿宋"/>
          <w:spacing w:val="-1"/>
          <w:w w:val="95"/>
        </w:rPr>
        <w:t>附则</w:t>
      </w:r>
    </w:p>
    <w:p>
      <w:pPr>
        <w:pStyle w:val="19"/>
        <w:spacing w:line="580" w:lineRule="exact"/>
        <w:ind w:left="0" w:firstLine="567"/>
        <w:rPr>
          <w:rFonts w:ascii="仿宋" w:hAnsi="仿宋" w:eastAsia="仿宋"/>
        </w:rPr>
      </w:pPr>
      <w:r>
        <w:rPr>
          <w:rFonts w:hint="eastAsia" w:ascii="仿宋" w:hAnsi="仿宋" w:eastAsia="仿宋"/>
        </w:rPr>
        <w:t>本制度由公司风控合规部负责制定、修订与解释。本制度未尽事宜，按相关法律法规执行。</w:t>
      </w:r>
    </w:p>
    <w:p>
      <w:pPr>
        <w:pStyle w:val="19"/>
        <w:spacing w:line="580" w:lineRule="exact"/>
        <w:ind w:left="0" w:firstLine="567"/>
        <w:rPr>
          <w:rFonts w:ascii="仿宋" w:hAnsi="仿宋" w:eastAsia="仿宋"/>
        </w:rPr>
      </w:pPr>
      <w:r>
        <w:rPr>
          <w:rFonts w:hint="eastAsia" w:ascii="仿宋" w:hAnsi="仿宋" w:eastAsia="仿宋"/>
        </w:rPr>
        <w:t>本制度自发文之日起正式执行。</w:t>
      </w:r>
    </w:p>
    <w:p>
      <w:pPr>
        <w:spacing w:line="580" w:lineRule="exact"/>
        <w:ind w:firstLine="0" w:firstLineChars="0"/>
        <w:rPr>
          <w:rFonts w:ascii="仿宋_GB2312" w:hAnsi="仿宋" w:eastAsia="仿宋_GB2312"/>
          <w:sz w:val="28"/>
          <w:szCs w:val="28"/>
        </w:rPr>
      </w:pPr>
    </w:p>
    <w:p>
      <w:pPr>
        <w:spacing w:line="580" w:lineRule="exact"/>
        <w:ind w:firstLine="0" w:firstLineChars="0"/>
        <w:rPr>
          <w:rFonts w:ascii="仿宋_GB2312" w:hAnsi="仿宋" w:eastAsia="仿宋_GB2312"/>
          <w:sz w:val="28"/>
          <w:szCs w:val="28"/>
        </w:rPr>
      </w:pPr>
    </w:p>
    <w:p>
      <w:pPr>
        <w:spacing w:line="580" w:lineRule="exact"/>
        <w:ind w:firstLine="0" w:firstLineChars="0"/>
        <w:rPr>
          <w:rFonts w:ascii="仿宋_GB2312" w:hAnsi="仿宋" w:eastAsia="仿宋_GB2312"/>
          <w:sz w:val="28"/>
          <w:szCs w:val="28"/>
        </w:rPr>
      </w:pPr>
    </w:p>
    <w:p>
      <w:pPr>
        <w:spacing w:line="580" w:lineRule="exact"/>
        <w:ind w:firstLine="0" w:firstLineChars="0"/>
        <w:rPr>
          <w:rFonts w:ascii="仿宋_GB2312" w:hAnsi="仿宋" w:eastAsia="仿宋_GB2312"/>
          <w:sz w:val="28"/>
          <w:szCs w:val="28"/>
        </w:rPr>
      </w:pPr>
    </w:p>
    <w:p>
      <w:pPr>
        <w:spacing w:line="580" w:lineRule="exact"/>
        <w:ind w:firstLine="0" w:firstLineChars="0"/>
        <w:rPr>
          <w:rFonts w:ascii="仿宋_GB2312" w:hAnsi="仿宋" w:eastAsia="仿宋_GB2312"/>
          <w:sz w:val="28"/>
          <w:szCs w:val="28"/>
        </w:rPr>
      </w:pPr>
    </w:p>
    <w:p>
      <w:pPr>
        <w:tabs>
          <w:tab w:val="left" w:pos="624"/>
          <w:tab w:val="left" w:pos="1980"/>
          <w:tab w:val="left" w:pos="2520"/>
        </w:tabs>
        <w:spacing w:beforeLines="50" w:line="520" w:lineRule="exact"/>
        <w:ind w:firstLine="4340" w:firstLineChars="1550"/>
        <w:jc w:val="left"/>
        <w:rPr>
          <w:rFonts w:ascii="仿宋" w:hAnsi="仿宋" w:eastAsia="仿宋" w:cs="仿宋"/>
          <w:sz w:val="28"/>
          <w:szCs w:val="28"/>
        </w:rPr>
      </w:pPr>
    </w:p>
    <w:p>
      <w:pPr>
        <w:tabs>
          <w:tab w:val="left" w:pos="624"/>
          <w:tab w:val="left" w:pos="1980"/>
          <w:tab w:val="left" w:pos="2520"/>
        </w:tabs>
        <w:spacing w:beforeLines="50" w:line="520" w:lineRule="exact"/>
        <w:ind w:firstLine="4340" w:firstLineChars="1550"/>
        <w:jc w:val="left"/>
        <w:rPr>
          <w:rFonts w:ascii="仿宋" w:hAnsi="仿宋" w:eastAsia="仿宋" w:cs="仿宋"/>
          <w:sz w:val="28"/>
          <w:szCs w:val="28"/>
        </w:rPr>
      </w:pPr>
    </w:p>
    <w:p>
      <w:pPr>
        <w:tabs>
          <w:tab w:val="left" w:pos="624"/>
          <w:tab w:val="left" w:pos="1980"/>
          <w:tab w:val="left" w:pos="2520"/>
        </w:tabs>
        <w:spacing w:beforeLines="50" w:line="520" w:lineRule="exact"/>
        <w:ind w:firstLine="4340" w:firstLineChars="1550"/>
        <w:jc w:val="left"/>
        <w:rPr>
          <w:rFonts w:ascii="仿宋" w:hAnsi="仿宋" w:eastAsia="仿宋" w:cs="仿宋"/>
          <w:sz w:val="28"/>
          <w:szCs w:val="28"/>
        </w:rPr>
      </w:pPr>
    </w:p>
    <w:p>
      <w:pPr>
        <w:tabs>
          <w:tab w:val="left" w:pos="624"/>
          <w:tab w:val="left" w:pos="1980"/>
          <w:tab w:val="left" w:pos="2520"/>
        </w:tabs>
        <w:spacing w:beforeLines="50" w:line="520" w:lineRule="exact"/>
        <w:ind w:firstLine="4340" w:firstLineChars="1550"/>
        <w:jc w:val="left"/>
        <w:rPr>
          <w:rFonts w:ascii="仿宋" w:hAnsi="仿宋" w:eastAsia="仿宋" w:cs="仿宋"/>
          <w:sz w:val="28"/>
          <w:szCs w:val="28"/>
        </w:rPr>
      </w:pPr>
      <w:r>
        <w:rPr>
          <w:rFonts w:hint="eastAsia" w:ascii="仿宋" w:hAnsi="仿宋" w:eastAsia="仿宋" w:cs="仿宋"/>
          <w:sz w:val="28"/>
          <w:szCs w:val="28"/>
          <w:lang w:eastAsia="zh-CN"/>
        </w:rPr>
        <w:t>深圳亿库资本管理有限公司</w:t>
      </w:r>
    </w:p>
    <w:p>
      <w:pPr>
        <w:tabs>
          <w:tab w:val="left" w:pos="624"/>
          <w:tab w:val="left" w:pos="1980"/>
          <w:tab w:val="left" w:pos="2520"/>
        </w:tabs>
        <w:spacing w:beforeLines="50" w:line="520" w:lineRule="exact"/>
        <w:ind w:firstLine="5320" w:firstLineChars="1900"/>
        <w:jc w:val="left"/>
        <w:rPr>
          <w:rFonts w:ascii="仿宋" w:hAnsi="仿宋" w:eastAsia="仿宋" w:cs="仿宋"/>
          <w:sz w:val="28"/>
          <w:szCs w:val="28"/>
        </w:rPr>
      </w:pPr>
      <w:r>
        <w:rPr>
          <w:rFonts w:ascii="仿宋" w:hAnsi="仿宋" w:eastAsia="仿宋" w:cs="仿宋"/>
          <w:sz w:val="28"/>
          <w:szCs w:val="28"/>
        </w:rPr>
        <w:t>2016</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ascii="仿宋" w:hAnsi="仿宋" w:eastAsia="仿宋" w:cs="仿宋"/>
          <w:sz w:val="28"/>
          <w:szCs w:val="28"/>
        </w:rPr>
        <w:t>2</w:t>
      </w:r>
      <w:r>
        <w:rPr>
          <w:rFonts w:hint="eastAsia" w:ascii="仿宋" w:hAnsi="仿宋" w:eastAsia="仿宋" w:cs="仿宋"/>
          <w:sz w:val="28"/>
          <w:szCs w:val="28"/>
        </w:rPr>
        <w:t>日</w:t>
      </w:r>
    </w:p>
    <w:p>
      <w:pPr>
        <w:spacing w:line="580" w:lineRule="exact"/>
        <w:ind w:firstLine="0" w:firstLineChars="0"/>
        <w:rPr>
          <w:rFonts w:ascii="仿宋_GB2312" w:hAnsi="仿宋" w:eastAsia="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1D70"/>
    <w:multiLevelType w:val="multilevel"/>
    <w:tmpl w:val="191A1D70"/>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pStyle w:val="14"/>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1">
    <w:nsid w:val="20423509"/>
    <w:multiLevelType w:val="multilevel"/>
    <w:tmpl w:val="20423509"/>
    <w:lvl w:ilvl="0" w:tentative="0">
      <w:start w:val="1"/>
      <w:numFmt w:val="japaneseCounting"/>
      <w:pStyle w:val="19"/>
      <w:lvlText w:val="第%1条"/>
      <w:lvlJc w:val="left"/>
      <w:pPr>
        <w:ind w:left="1190" w:hanging="1190"/>
      </w:pPr>
      <w:rPr>
        <w:rFonts w:hint="default" w:cs="Times New Roman"/>
        <w:b/>
      </w:rPr>
    </w:lvl>
    <w:lvl w:ilvl="1" w:tentative="0">
      <w:start w:val="2"/>
      <w:numFmt w:val="japaneseCounting"/>
      <w:lvlText w:val="（%2）"/>
      <w:lvlJc w:val="left"/>
      <w:pPr>
        <w:ind w:left="1207" w:hanging="720"/>
      </w:pPr>
      <w:rPr>
        <w:rFonts w:hint="default" w:ascii="Calibri" w:hAnsi="Calibri" w:eastAsia="宋体" w:cs="Times New Roman"/>
        <w:color w:val="auto"/>
        <w:sz w:val="21"/>
      </w:rPr>
    </w:lvl>
    <w:lvl w:ilvl="2" w:tentative="0">
      <w:start w:val="1"/>
      <w:numFmt w:val="lowerRoman"/>
      <w:lvlText w:val="%3."/>
      <w:lvlJc w:val="right"/>
      <w:pPr>
        <w:ind w:left="1327" w:hanging="420"/>
      </w:pPr>
      <w:rPr>
        <w:rFonts w:cs="Times New Roman"/>
      </w:rPr>
    </w:lvl>
    <w:lvl w:ilvl="3" w:tentative="0">
      <w:start w:val="1"/>
      <w:numFmt w:val="decimal"/>
      <w:lvlText w:val="%4."/>
      <w:lvlJc w:val="left"/>
      <w:pPr>
        <w:ind w:left="1747" w:hanging="420"/>
      </w:pPr>
      <w:rPr>
        <w:rFonts w:cs="Times New Roman"/>
      </w:rPr>
    </w:lvl>
    <w:lvl w:ilvl="4" w:tentative="0">
      <w:start w:val="1"/>
      <w:numFmt w:val="lowerLetter"/>
      <w:lvlText w:val="%5)"/>
      <w:lvlJc w:val="left"/>
      <w:pPr>
        <w:ind w:left="2167" w:hanging="420"/>
      </w:pPr>
      <w:rPr>
        <w:rFonts w:cs="Times New Roman"/>
      </w:rPr>
    </w:lvl>
    <w:lvl w:ilvl="5" w:tentative="0">
      <w:start w:val="1"/>
      <w:numFmt w:val="lowerRoman"/>
      <w:lvlText w:val="%6."/>
      <w:lvlJc w:val="right"/>
      <w:pPr>
        <w:ind w:left="2587" w:hanging="420"/>
      </w:pPr>
      <w:rPr>
        <w:rFonts w:cs="Times New Roman"/>
      </w:rPr>
    </w:lvl>
    <w:lvl w:ilvl="6" w:tentative="0">
      <w:start w:val="1"/>
      <w:numFmt w:val="decimal"/>
      <w:lvlText w:val="%7."/>
      <w:lvlJc w:val="left"/>
      <w:pPr>
        <w:ind w:left="3007" w:hanging="420"/>
      </w:pPr>
      <w:rPr>
        <w:rFonts w:cs="Times New Roman"/>
      </w:rPr>
    </w:lvl>
    <w:lvl w:ilvl="7" w:tentative="0">
      <w:start w:val="1"/>
      <w:numFmt w:val="lowerLetter"/>
      <w:lvlText w:val="%8)"/>
      <w:lvlJc w:val="left"/>
      <w:pPr>
        <w:ind w:left="3427" w:hanging="420"/>
      </w:pPr>
      <w:rPr>
        <w:rFonts w:cs="Times New Roman"/>
      </w:rPr>
    </w:lvl>
    <w:lvl w:ilvl="8" w:tentative="0">
      <w:start w:val="1"/>
      <w:numFmt w:val="lowerRoman"/>
      <w:lvlText w:val="%9."/>
      <w:lvlJc w:val="right"/>
      <w:pPr>
        <w:ind w:left="3847" w:hanging="420"/>
      </w:pPr>
      <w:rPr>
        <w:rFonts w:cs="Times New Roman"/>
      </w:rPr>
    </w:lvl>
  </w:abstractNum>
  <w:abstractNum w:abstractNumId="2">
    <w:nsid w:val="505D3B3A"/>
    <w:multiLevelType w:val="multilevel"/>
    <w:tmpl w:val="505D3B3A"/>
    <w:lvl w:ilvl="0" w:tentative="0">
      <w:start w:val="5"/>
      <w:numFmt w:val="japaneseCounting"/>
      <w:lvlText w:val="（%1）"/>
      <w:lvlJc w:val="left"/>
      <w:pPr>
        <w:ind w:left="1153" w:hanging="735"/>
      </w:pPr>
      <w:rPr>
        <w:rFonts w:hint="default" w:cs="Times New Roman"/>
      </w:rPr>
    </w:lvl>
    <w:lvl w:ilvl="1" w:tentative="0">
      <w:start w:val="1"/>
      <w:numFmt w:val="lowerLetter"/>
      <w:lvlText w:val="%2)"/>
      <w:lvlJc w:val="left"/>
      <w:pPr>
        <w:ind w:left="1258" w:hanging="420"/>
      </w:pPr>
      <w:rPr>
        <w:rFonts w:cs="Times New Roman"/>
      </w:rPr>
    </w:lvl>
    <w:lvl w:ilvl="2" w:tentative="0">
      <w:start w:val="1"/>
      <w:numFmt w:val="lowerRoman"/>
      <w:lvlText w:val="%3."/>
      <w:lvlJc w:val="right"/>
      <w:pPr>
        <w:ind w:left="1678" w:hanging="420"/>
      </w:pPr>
      <w:rPr>
        <w:rFonts w:cs="Times New Roman"/>
      </w:rPr>
    </w:lvl>
    <w:lvl w:ilvl="3" w:tentative="0">
      <w:start w:val="1"/>
      <w:numFmt w:val="decimal"/>
      <w:lvlText w:val="%4."/>
      <w:lvlJc w:val="left"/>
      <w:pPr>
        <w:ind w:left="2098" w:hanging="420"/>
      </w:pPr>
      <w:rPr>
        <w:rFonts w:cs="Times New Roman"/>
      </w:rPr>
    </w:lvl>
    <w:lvl w:ilvl="4" w:tentative="0">
      <w:start w:val="1"/>
      <w:numFmt w:val="lowerLetter"/>
      <w:lvlText w:val="%5)"/>
      <w:lvlJc w:val="left"/>
      <w:pPr>
        <w:ind w:left="2518" w:hanging="420"/>
      </w:pPr>
      <w:rPr>
        <w:rFonts w:cs="Times New Roman"/>
      </w:rPr>
    </w:lvl>
    <w:lvl w:ilvl="5" w:tentative="0">
      <w:start w:val="1"/>
      <w:numFmt w:val="lowerRoman"/>
      <w:lvlText w:val="%6."/>
      <w:lvlJc w:val="right"/>
      <w:pPr>
        <w:ind w:left="2938" w:hanging="420"/>
      </w:pPr>
      <w:rPr>
        <w:rFonts w:cs="Times New Roman"/>
      </w:rPr>
    </w:lvl>
    <w:lvl w:ilvl="6" w:tentative="0">
      <w:start w:val="1"/>
      <w:numFmt w:val="decimal"/>
      <w:lvlText w:val="%7."/>
      <w:lvlJc w:val="left"/>
      <w:pPr>
        <w:ind w:left="3358" w:hanging="420"/>
      </w:pPr>
      <w:rPr>
        <w:rFonts w:cs="Times New Roman"/>
      </w:rPr>
    </w:lvl>
    <w:lvl w:ilvl="7" w:tentative="0">
      <w:start w:val="1"/>
      <w:numFmt w:val="lowerLetter"/>
      <w:lvlText w:val="%8)"/>
      <w:lvlJc w:val="left"/>
      <w:pPr>
        <w:ind w:left="3778" w:hanging="420"/>
      </w:pPr>
      <w:rPr>
        <w:rFonts w:cs="Times New Roman"/>
      </w:rPr>
    </w:lvl>
    <w:lvl w:ilvl="8" w:tentative="0">
      <w:start w:val="1"/>
      <w:numFmt w:val="lowerRoman"/>
      <w:lvlText w:val="%9."/>
      <w:lvlJc w:val="right"/>
      <w:pPr>
        <w:ind w:left="4198"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649"/>
    <w:rsid w:val="000166B6"/>
    <w:rsid w:val="000412CC"/>
    <w:rsid w:val="00082695"/>
    <w:rsid w:val="000C5DD7"/>
    <w:rsid w:val="00145889"/>
    <w:rsid w:val="00155CB0"/>
    <w:rsid w:val="001D5AEB"/>
    <w:rsid w:val="00203FC9"/>
    <w:rsid w:val="00211CD4"/>
    <w:rsid w:val="002A2F70"/>
    <w:rsid w:val="00344CBF"/>
    <w:rsid w:val="00360041"/>
    <w:rsid w:val="003769A9"/>
    <w:rsid w:val="0038771A"/>
    <w:rsid w:val="003C1ABC"/>
    <w:rsid w:val="003F17D5"/>
    <w:rsid w:val="00406720"/>
    <w:rsid w:val="004B3AFE"/>
    <w:rsid w:val="00501B64"/>
    <w:rsid w:val="005342E1"/>
    <w:rsid w:val="00537349"/>
    <w:rsid w:val="00541C16"/>
    <w:rsid w:val="00544142"/>
    <w:rsid w:val="0054713A"/>
    <w:rsid w:val="00580773"/>
    <w:rsid w:val="005A548A"/>
    <w:rsid w:val="005A60F5"/>
    <w:rsid w:val="005B7A4C"/>
    <w:rsid w:val="005D4EFC"/>
    <w:rsid w:val="006338B6"/>
    <w:rsid w:val="0065785B"/>
    <w:rsid w:val="0068378E"/>
    <w:rsid w:val="00690DFF"/>
    <w:rsid w:val="00706D26"/>
    <w:rsid w:val="00715C04"/>
    <w:rsid w:val="00751649"/>
    <w:rsid w:val="0078739C"/>
    <w:rsid w:val="00854207"/>
    <w:rsid w:val="0086410A"/>
    <w:rsid w:val="00893C43"/>
    <w:rsid w:val="00932866"/>
    <w:rsid w:val="00954312"/>
    <w:rsid w:val="009976DE"/>
    <w:rsid w:val="009D1C04"/>
    <w:rsid w:val="009D6B6E"/>
    <w:rsid w:val="009E5A10"/>
    <w:rsid w:val="00A108DA"/>
    <w:rsid w:val="00A72B90"/>
    <w:rsid w:val="00A75F49"/>
    <w:rsid w:val="00AA3F7C"/>
    <w:rsid w:val="00AA41B5"/>
    <w:rsid w:val="00AA5070"/>
    <w:rsid w:val="00AC474A"/>
    <w:rsid w:val="00AE4DE8"/>
    <w:rsid w:val="00B05915"/>
    <w:rsid w:val="00B27305"/>
    <w:rsid w:val="00BE46EE"/>
    <w:rsid w:val="00BF0891"/>
    <w:rsid w:val="00BF2D85"/>
    <w:rsid w:val="00C01C92"/>
    <w:rsid w:val="00C51C94"/>
    <w:rsid w:val="00CA7CCB"/>
    <w:rsid w:val="00CD4A79"/>
    <w:rsid w:val="00CE3CC8"/>
    <w:rsid w:val="00D30EFE"/>
    <w:rsid w:val="00D334C1"/>
    <w:rsid w:val="00D61921"/>
    <w:rsid w:val="00D91DD5"/>
    <w:rsid w:val="00DE12CB"/>
    <w:rsid w:val="00DF4ED1"/>
    <w:rsid w:val="00DF7F67"/>
    <w:rsid w:val="00E12721"/>
    <w:rsid w:val="00E37C01"/>
    <w:rsid w:val="00E44059"/>
    <w:rsid w:val="00EC6BD8"/>
    <w:rsid w:val="00F17D2D"/>
    <w:rsid w:val="36A61BA7"/>
    <w:rsid w:val="3F22649B"/>
    <w:rsid w:val="52240DB7"/>
    <w:rsid w:val="641B1C40"/>
    <w:rsid w:val="6E9C0841"/>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30"/>
      <w:szCs w:val="44"/>
    </w:rPr>
  </w:style>
  <w:style w:type="character" w:default="1" w:styleId="9">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3"/>
    <w:semiHidden/>
    <w:qFormat/>
    <w:uiPriority w:val="99"/>
    <w:rPr>
      <w:b/>
      <w:bCs/>
    </w:rPr>
  </w:style>
  <w:style w:type="paragraph" w:styleId="4">
    <w:name w:val="annotation text"/>
    <w:basedOn w:val="1"/>
    <w:link w:val="22"/>
    <w:semiHidden/>
    <w:qFormat/>
    <w:uiPriority w:val="99"/>
    <w:pPr>
      <w:jc w:val="left"/>
    </w:pPr>
  </w:style>
  <w:style w:type="paragraph" w:styleId="5">
    <w:name w:val="Balloon Text"/>
    <w:basedOn w:val="1"/>
    <w:link w:val="24"/>
    <w:semiHidden/>
    <w:qFormat/>
    <w:uiPriority w:val="99"/>
    <w:pPr>
      <w:spacing w:line="240" w:lineRule="auto"/>
    </w:pPr>
    <w:rPr>
      <w:sz w:val="18"/>
      <w:szCs w:val="18"/>
    </w:rPr>
  </w:style>
  <w:style w:type="paragraph" w:styleId="6">
    <w:name w:val="footer"/>
    <w:basedOn w:val="1"/>
    <w:link w:val="26"/>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99"/>
    <w:pPr>
      <w:widowControl/>
      <w:spacing w:line="240" w:lineRule="auto"/>
      <w:ind w:firstLine="0" w:firstLineChars="0"/>
      <w:jc w:val="left"/>
    </w:pPr>
    <w:rPr>
      <w:kern w:val="0"/>
      <w:szCs w:val="20"/>
    </w:rPr>
  </w:style>
  <w:style w:type="character" w:styleId="10">
    <w:name w:val="Strong"/>
    <w:basedOn w:val="9"/>
    <w:qFormat/>
    <w:uiPriority w:val="99"/>
    <w:rPr>
      <w:rFonts w:eastAsia="宋体" w:cs="Times New Roman"/>
      <w:b/>
      <w:bCs/>
      <w:sz w:val="24"/>
    </w:rPr>
  </w:style>
  <w:style w:type="character" w:styleId="11">
    <w:name w:val="annotation reference"/>
    <w:basedOn w:val="9"/>
    <w:semiHidden/>
    <w:qFormat/>
    <w:uiPriority w:val="99"/>
    <w:rPr>
      <w:rFonts w:cs="Times New Roman"/>
      <w:sz w:val="21"/>
      <w:szCs w:val="21"/>
    </w:rPr>
  </w:style>
  <w:style w:type="character" w:customStyle="1" w:styleId="13">
    <w:name w:val="Heading 1 Char"/>
    <w:basedOn w:val="9"/>
    <w:link w:val="2"/>
    <w:qFormat/>
    <w:locked/>
    <w:uiPriority w:val="99"/>
    <w:rPr>
      <w:rFonts w:eastAsia="宋体" w:cs="Times New Roman"/>
      <w:b/>
      <w:bCs/>
      <w:kern w:val="44"/>
      <w:sz w:val="44"/>
      <w:szCs w:val="44"/>
    </w:rPr>
  </w:style>
  <w:style w:type="paragraph" w:customStyle="1" w:styleId="14">
    <w:name w:val="样式1"/>
    <w:basedOn w:val="1"/>
    <w:link w:val="15"/>
    <w:qFormat/>
    <w:uiPriority w:val="99"/>
    <w:pPr>
      <w:numPr>
        <w:ilvl w:val="2"/>
        <w:numId w:val="1"/>
      </w:numPr>
      <w:tabs>
        <w:tab w:val="left" w:pos="1213"/>
        <w:tab w:val="left" w:pos="1620"/>
      </w:tabs>
      <w:spacing w:line="360" w:lineRule="auto"/>
      <w:ind w:firstLine="539" w:firstLineChars="0"/>
    </w:pPr>
    <w:rPr>
      <w:rFonts w:ascii="仿宋_GB2312" w:hAnsi="Calibri" w:eastAsia="仿宋_GB2312"/>
      <w:sz w:val="28"/>
      <w:szCs w:val="28"/>
    </w:rPr>
  </w:style>
  <w:style w:type="character" w:customStyle="1" w:styleId="15">
    <w:name w:val="样式1 Char"/>
    <w:basedOn w:val="9"/>
    <w:link w:val="14"/>
    <w:qFormat/>
    <w:locked/>
    <w:uiPriority w:val="99"/>
    <w:rPr>
      <w:rFonts w:ascii="仿宋_GB2312" w:eastAsia="仿宋_GB2312" w:cs="Times New Roman"/>
      <w:sz w:val="28"/>
      <w:szCs w:val="28"/>
    </w:rPr>
  </w:style>
  <w:style w:type="paragraph" w:customStyle="1" w:styleId="16">
    <w:name w:val="List Paragraph"/>
    <w:basedOn w:val="1"/>
    <w:link w:val="20"/>
    <w:qFormat/>
    <w:uiPriority w:val="99"/>
    <w:pPr>
      <w:spacing w:after="200" w:line="276" w:lineRule="auto"/>
      <w:ind w:firstLine="420"/>
      <w:jc w:val="left"/>
    </w:pPr>
    <w:rPr>
      <w:rFonts w:ascii="Calibri" w:hAnsi="Calibri"/>
      <w:sz w:val="21"/>
      <w:szCs w:val="22"/>
    </w:rPr>
  </w:style>
  <w:style w:type="paragraph" w:customStyle="1" w:styleId="17">
    <w:name w:val="章"/>
    <w:basedOn w:val="1"/>
    <w:link w:val="18"/>
    <w:uiPriority w:val="99"/>
    <w:pPr>
      <w:snapToGrid w:val="0"/>
      <w:spacing w:line="360" w:lineRule="auto"/>
      <w:ind w:left="283" w:firstLine="0" w:firstLineChars="0"/>
      <w:jc w:val="center"/>
      <w:outlineLvl w:val="1"/>
    </w:pPr>
    <w:rPr>
      <w:rFonts w:ascii="仿宋_GB2312" w:hAnsi="仿宋" w:eastAsia="仿宋_GB2312" w:cs="宋体"/>
      <w:b/>
      <w:sz w:val="28"/>
    </w:rPr>
  </w:style>
  <w:style w:type="character" w:customStyle="1" w:styleId="18">
    <w:name w:val="章 Char"/>
    <w:basedOn w:val="9"/>
    <w:link w:val="17"/>
    <w:qFormat/>
    <w:locked/>
    <w:uiPriority w:val="99"/>
    <w:rPr>
      <w:rFonts w:ascii="仿宋_GB2312" w:hAnsi="仿宋" w:eastAsia="仿宋_GB2312" w:cs="宋体"/>
      <w:b/>
      <w:sz w:val="24"/>
      <w:szCs w:val="24"/>
    </w:rPr>
  </w:style>
  <w:style w:type="paragraph" w:customStyle="1" w:styleId="19">
    <w:name w:val="条"/>
    <w:basedOn w:val="16"/>
    <w:link w:val="21"/>
    <w:qFormat/>
    <w:uiPriority w:val="99"/>
    <w:pPr>
      <w:numPr>
        <w:ilvl w:val="0"/>
        <w:numId w:val="2"/>
      </w:numPr>
      <w:tabs>
        <w:tab w:val="left" w:pos="907"/>
      </w:tabs>
      <w:spacing w:after="0" w:line="360" w:lineRule="auto"/>
      <w:ind w:firstLine="0" w:firstLineChars="0"/>
    </w:pPr>
    <w:rPr>
      <w:rFonts w:ascii="宋体" w:hAnsi="宋体" w:eastAsia="仿宋_GB2312"/>
      <w:bCs/>
      <w:sz w:val="28"/>
      <w:szCs w:val="28"/>
    </w:rPr>
  </w:style>
  <w:style w:type="character" w:customStyle="1" w:styleId="20">
    <w:name w:val="List Paragraph Char"/>
    <w:basedOn w:val="9"/>
    <w:link w:val="16"/>
    <w:qFormat/>
    <w:locked/>
    <w:uiPriority w:val="99"/>
    <w:rPr>
      <w:rFonts w:cs="Times New Roman"/>
    </w:rPr>
  </w:style>
  <w:style w:type="character" w:customStyle="1" w:styleId="21">
    <w:name w:val="条 Char"/>
    <w:basedOn w:val="20"/>
    <w:link w:val="19"/>
    <w:qFormat/>
    <w:locked/>
    <w:uiPriority w:val="99"/>
    <w:rPr>
      <w:rFonts w:ascii="宋体" w:hAnsi="宋体" w:eastAsia="仿宋_GB2312"/>
      <w:bCs/>
      <w:sz w:val="28"/>
      <w:szCs w:val="28"/>
    </w:rPr>
  </w:style>
  <w:style w:type="character" w:customStyle="1" w:styleId="22">
    <w:name w:val="Comment Text Char"/>
    <w:basedOn w:val="9"/>
    <w:link w:val="4"/>
    <w:semiHidden/>
    <w:qFormat/>
    <w:locked/>
    <w:uiPriority w:val="99"/>
    <w:rPr>
      <w:rFonts w:ascii="Times New Roman" w:hAnsi="Times New Roman" w:eastAsia="宋体" w:cs="Times New Roman"/>
      <w:sz w:val="24"/>
      <w:szCs w:val="24"/>
    </w:rPr>
  </w:style>
  <w:style w:type="character" w:customStyle="1" w:styleId="23">
    <w:name w:val="Comment Subject Char"/>
    <w:basedOn w:val="22"/>
    <w:link w:val="3"/>
    <w:semiHidden/>
    <w:locked/>
    <w:uiPriority w:val="99"/>
    <w:rPr>
      <w:b/>
      <w:bCs/>
    </w:rPr>
  </w:style>
  <w:style w:type="character" w:customStyle="1" w:styleId="24">
    <w:name w:val="Balloon Text Char"/>
    <w:basedOn w:val="9"/>
    <w:link w:val="5"/>
    <w:semiHidden/>
    <w:locked/>
    <w:uiPriority w:val="99"/>
    <w:rPr>
      <w:rFonts w:ascii="Times New Roman" w:hAnsi="Times New Roman" w:eastAsia="宋体" w:cs="Times New Roman"/>
      <w:sz w:val="18"/>
      <w:szCs w:val="18"/>
    </w:rPr>
  </w:style>
  <w:style w:type="character" w:customStyle="1" w:styleId="25">
    <w:name w:val="Header Char"/>
    <w:basedOn w:val="9"/>
    <w:link w:val="7"/>
    <w:locked/>
    <w:uiPriority w:val="99"/>
    <w:rPr>
      <w:rFonts w:ascii="Times New Roman" w:hAnsi="Times New Roman" w:eastAsia="宋体" w:cs="Times New Roman"/>
      <w:sz w:val="18"/>
      <w:szCs w:val="18"/>
    </w:rPr>
  </w:style>
  <w:style w:type="character" w:customStyle="1" w:styleId="26">
    <w:name w:val="Footer Char"/>
    <w:basedOn w:val="9"/>
    <w:link w:val="6"/>
    <w:qFormat/>
    <w:locked/>
    <w:uiPriority w:val="99"/>
    <w:rPr>
      <w:rFonts w:ascii="Times New Roman" w:hAnsi="Times New Roman" w:eastAsia="宋体" w:cs="Times New Roman"/>
      <w:sz w:val="18"/>
      <w:szCs w:val="18"/>
    </w:rPr>
  </w:style>
  <w:style w:type="paragraph" w:customStyle="1" w:styleId="27">
    <w:name w:val="条文"/>
    <w:basedOn w:val="16"/>
    <w:link w:val="28"/>
    <w:qFormat/>
    <w:uiPriority w:val="99"/>
    <w:pPr>
      <w:snapToGrid w:val="0"/>
      <w:spacing w:after="0" w:line="360" w:lineRule="auto"/>
      <w:ind w:firstLine="0" w:firstLineChars="0"/>
      <w:jc w:val="both"/>
    </w:pPr>
    <w:rPr>
      <w:rFonts w:ascii="宋体" w:hAnsi="宋体" w:eastAsia="仿宋_GB2312"/>
      <w:bCs/>
      <w:sz w:val="28"/>
      <w:szCs w:val="28"/>
    </w:rPr>
  </w:style>
  <w:style w:type="character" w:customStyle="1" w:styleId="28">
    <w:name w:val="条文 Char"/>
    <w:basedOn w:val="9"/>
    <w:link w:val="27"/>
    <w:locked/>
    <w:uiPriority w:val="99"/>
    <w:rPr>
      <w:rFonts w:ascii="宋体" w:hAnsi="宋体" w:eastAsia="仿宋_GB2312" w:cs="Times New Roman"/>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8</Pages>
  <Words>585</Words>
  <Characters>3341</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2016-03-03T06:11:00Z</dcterms:created>
  <dc:creator>王雅峥</dc:creator>
  <cp:lastModifiedBy>曹文杰</cp:lastModifiedBy>
  <dcterms:modified xsi:type="dcterms:W3CDTF">2016-08-06T06:59:09Z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